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32"/>
        <w:rPr>
          <w:rFonts w:ascii="黑体" w:eastAsia="黑体" w:hint="eastAsia"/>
        </w:rPr>
      </w:pPr>
      <w:r>
        <w:rPr>
          <w:rFonts w:ascii="黑体" w:eastAsia="黑体" w:hint="eastAsia"/>
          <w:spacing w:val="-27"/>
        </w:rPr>
        <w:t>附件 </w:t>
      </w:r>
      <w:r>
        <w:rPr>
          <w:rFonts w:ascii="黑体" w:eastAsia="黑体" w:hint="eastAsia"/>
          <w:spacing w:val="-19"/>
        </w:rPr>
        <w:t>3</w:t>
      </w:r>
    </w:p>
    <w:p>
      <w:pPr>
        <w:pStyle w:val="BodyText"/>
        <w:spacing w:before="10"/>
        <w:ind w:left="0"/>
        <w:rPr>
          <w:rFonts w:ascii="黑体"/>
          <w:sz w:val="62"/>
        </w:rPr>
      </w:pPr>
      <w:r>
        <w:rPr/>
        <w:br w:type="column"/>
      </w:r>
      <w:r>
        <w:rPr>
          <w:rFonts w:ascii="黑体"/>
          <w:sz w:val="62"/>
        </w:rPr>
      </w:r>
    </w:p>
    <w:p>
      <w:pPr>
        <w:spacing w:line="266" w:lineRule="auto" w:before="0"/>
        <w:ind w:left="1910" w:right="1445" w:hanging="1817"/>
        <w:jc w:val="left"/>
        <w:rPr>
          <w:b/>
          <w:sz w:val="44"/>
        </w:rPr>
      </w:pPr>
      <w:r>
        <w:rPr>
          <w:rFonts w:ascii="Times New Roman" w:eastAsia="Times New Roman"/>
          <w:b/>
          <w:sz w:val="44"/>
        </w:rPr>
        <w:t>2022 </w:t>
      </w:r>
      <w:r>
        <w:rPr>
          <w:b/>
          <w:sz w:val="44"/>
        </w:rPr>
        <w:t>年度中卫科研省企联合基金项目申报指南</w:t>
      </w:r>
    </w:p>
    <w:p>
      <w:pPr>
        <w:spacing w:after="0" w:line="266" w:lineRule="auto"/>
        <w:jc w:val="left"/>
        <w:rPr>
          <w:sz w:val="44"/>
        </w:rPr>
        <w:sectPr>
          <w:footerReference w:type="default" r:id="rId5"/>
          <w:footerReference w:type="even" r:id="rId6"/>
          <w:type w:val="continuous"/>
          <w:pgSz w:w="11910" w:h="16840"/>
          <w:pgMar w:footer="966" w:top="1520" w:bottom="1160" w:left="1580" w:right="1360"/>
          <w:pgNumType w:start="25"/>
          <w:cols w:num="2" w:equalWidth="0">
            <w:col w:w="1100" w:space="40"/>
            <w:col w:w="7830"/>
          </w:cols>
        </w:sectPr>
      </w:pPr>
    </w:p>
    <w:p>
      <w:pPr>
        <w:pStyle w:val="BodyText"/>
        <w:spacing w:before="11"/>
        <w:ind w:left="0"/>
        <w:rPr>
          <w:b/>
          <w:sz w:val="25"/>
        </w:rPr>
      </w:pPr>
    </w:p>
    <w:p>
      <w:pPr>
        <w:pStyle w:val="BodyText"/>
        <w:spacing w:before="54"/>
        <w:ind w:left="860"/>
        <w:rPr>
          <w:rFonts w:ascii="黑体" w:eastAsia="黑体" w:hint="eastAsia"/>
        </w:rPr>
      </w:pPr>
      <w:bookmarkStart w:name="一、基金简介" w:id="1"/>
      <w:bookmarkEnd w:id="1"/>
      <w:r>
        <w:rPr/>
      </w:r>
      <w:r>
        <w:rPr>
          <w:rFonts w:ascii="黑体" w:eastAsia="黑体" w:hint="eastAsia"/>
        </w:rPr>
        <w:t>一、基金简介</w:t>
      </w:r>
    </w:p>
    <w:p>
      <w:pPr>
        <w:pStyle w:val="BodyText"/>
        <w:spacing w:line="364" w:lineRule="auto"/>
        <w:ind w:right="437" w:firstLine="640"/>
        <w:jc w:val="both"/>
      </w:pPr>
      <w:r>
        <w:rPr>
          <w:spacing w:val="13"/>
          <w:w w:val="95"/>
        </w:rPr>
        <w:t>广东省基础与应用基础研究基金北京中卫生物科研转 </w:t>
      </w:r>
      <w:r>
        <w:rPr>
          <w:spacing w:val="11"/>
          <w:w w:val="95"/>
        </w:rPr>
        <w:t>化研究中心联合基金</w:t>
      </w:r>
      <w:r>
        <w:rPr>
          <w:w w:val="95"/>
        </w:rPr>
        <w:t>（</w:t>
      </w:r>
      <w:r>
        <w:rPr>
          <w:spacing w:val="-1"/>
          <w:w w:val="95"/>
        </w:rPr>
        <w:t>以下简称“中卫科研联合基金</w:t>
      </w:r>
      <w:r>
        <w:rPr>
          <w:spacing w:val="-3"/>
          <w:w w:val="95"/>
        </w:rPr>
        <w:t>”）</w:t>
      </w:r>
      <w:r>
        <w:rPr>
          <w:w w:val="95"/>
        </w:rPr>
        <w:t>由 </w:t>
      </w:r>
      <w:r>
        <w:rPr>
          <w:spacing w:val="-2"/>
        </w:rPr>
        <w:t>广东省科学技术厅、北京中卫生物科研转化研究中心、广东</w:t>
      </w:r>
      <w:r>
        <w:rPr>
          <w:spacing w:val="-3"/>
        </w:rPr>
        <w:t>省基础与应用基础研究基金委员会共同组织实施，是省基金的组成部分。</w:t>
      </w:r>
    </w:p>
    <w:p>
      <w:pPr>
        <w:pStyle w:val="BodyText"/>
        <w:spacing w:line="364" w:lineRule="auto" w:before="4"/>
        <w:ind w:right="425" w:firstLine="640"/>
        <w:jc w:val="both"/>
      </w:pPr>
      <w:r>
        <w:rPr/>
        <w:t>中卫科研联合基金主要支持生物材料与临床医学结合、临床重点疾病筛查诊断领域的探索性研究和转化性研究，重点支持地市级医院、粤东西北地区医院开展基础与应用基础研究。</w:t>
      </w:r>
    </w:p>
    <w:p>
      <w:pPr>
        <w:pStyle w:val="BodyText"/>
        <w:spacing w:before="3"/>
        <w:ind w:left="860"/>
        <w:rPr>
          <w:rFonts w:ascii="黑体" w:eastAsia="黑体" w:hint="eastAsia"/>
        </w:rPr>
      </w:pPr>
      <w:bookmarkStart w:name="二、申报要求" w:id="2"/>
      <w:bookmarkEnd w:id="2"/>
      <w:r>
        <w:rPr/>
      </w:r>
      <w:r>
        <w:rPr>
          <w:rFonts w:ascii="黑体" w:eastAsia="黑体" w:hint="eastAsia"/>
        </w:rPr>
        <w:t>二、申报要求</w:t>
      </w:r>
    </w:p>
    <w:p>
      <w:pPr>
        <w:pStyle w:val="BodyText"/>
        <w:spacing w:line="364" w:lineRule="auto"/>
        <w:ind w:right="279" w:firstLine="640"/>
      </w:pPr>
      <w:r>
        <w:rPr>
          <w:w w:val="95"/>
        </w:rPr>
        <w:t>（一</w:t>
      </w:r>
      <w:r>
        <w:rPr>
          <w:spacing w:val="-87"/>
          <w:w w:val="95"/>
        </w:rPr>
        <w:t>）</w:t>
      </w:r>
      <w:r>
        <w:rPr>
          <w:spacing w:val="-6"/>
          <w:w w:val="95"/>
        </w:rPr>
        <w:t>项目申报单位为广东省内三级医院，省直属医院、 </w:t>
      </w:r>
      <w:r>
        <w:rPr>
          <w:spacing w:val="-6"/>
        </w:rPr>
        <w:t>珠三角地区的高校直属医院除外。</w:t>
      </w:r>
    </w:p>
    <w:p>
      <w:pPr>
        <w:pStyle w:val="BodyText"/>
        <w:spacing w:before="2"/>
        <w:ind w:left="860"/>
      </w:pPr>
      <w:r>
        <w:rPr/>
        <w:t>（二）面上项目申请人具有中级及以上专业技术职称</w:t>
      </w:r>
    </w:p>
    <w:p>
      <w:pPr>
        <w:pStyle w:val="BodyText"/>
        <w:spacing w:line="364" w:lineRule="auto"/>
        <w:ind w:right="440"/>
        <w:jc w:val="both"/>
      </w:pPr>
      <w:r>
        <w:rPr>
          <w:w w:val="95"/>
        </w:rPr>
        <w:t>（职务</w:t>
      </w:r>
      <w:r>
        <w:rPr>
          <w:spacing w:val="-5"/>
          <w:w w:val="95"/>
        </w:rPr>
        <w:t>）</w:t>
      </w:r>
      <w:r>
        <w:rPr>
          <w:spacing w:val="-2"/>
          <w:w w:val="95"/>
        </w:rPr>
        <w:t>或硕士及以上学位，具有相应研究经历。重点项目 </w:t>
      </w:r>
      <w:r>
        <w:rPr>
          <w:spacing w:val="-3"/>
        </w:rPr>
        <w:t>申请人应具有高级专业技术职称</w:t>
      </w:r>
      <w:r>
        <w:rPr/>
        <w:t>（职务</w:t>
      </w:r>
      <w:r>
        <w:rPr>
          <w:spacing w:val="-5"/>
        </w:rPr>
        <w:t>）</w:t>
      </w:r>
      <w:r>
        <w:rPr>
          <w:spacing w:val="-1"/>
        </w:rPr>
        <w:t>或博士学位，具有相应研究经历。</w:t>
      </w:r>
    </w:p>
    <w:p>
      <w:pPr>
        <w:pStyle w:val="BodyText"/>
        <w:spacing w:line="485" w:lineRule="exact" w:before="0"/>
        <w:ind w:left="860"/>
      </w:pPr>
      <w:r>
        <w:rPr/>
        <w:t>（三</w:t>
      </w:r>
      <w:r>
        <w:rPr>
          <w:spacing w:val="-87"/>
        </w:rPr>
        <w:t>）</w:t>
      </w:r>
      <w:r>
        <w:rPr/>
        <w:t>面上项目申请人</w:t>
      </w:r>
      <w:r>
        <w:rPr>
          <w:rFonts w:ascii="Microsoft JhengHei" w:eastAsia="Microsoft JhengHei" w:hint="eastAsia"/>
          <w:b/>
        </w:rPr>
        <w:t>未主持</w:t>
      </w:r>
      <w:r>
        <w:rPr>
          <w:spacing w:val="-11"/>
        </w:rPr>
        <w:t>过国家级科技计划</w:t>
      </w:r>
      <w:r>
        <w:rPr>
          <w:spacing w:val="-3"/>
        </w:rPr>
        <w:t>（</w:t>
      </w:r>
      <w:r>
        <w:rPr>
          <w:spacing w:val="1"/>
        </w:rPr>
        <w:t>专项、</w:t>
      </w:r>
    </w:p>
    <w:p>
      <w:pPr>
        <w:spacing w:after="0" w:line="485" w:lineRule="exact"/>
        <w:sectPr>
          <w:type w:val="continuous"/>
          <w:pgSz w:w="11910" w:h="16840"/>
          <w:pgMar w:top="1520" w:bottom="1160" w:left="1580" w:right="1360"/>
        </w:sectPr>
      </w:pPr>
    </w:p>
    <w:p>
      <w:pPr>
        <w:pStyle w:val="BodyText"/>
        <w:spacing w:line="300" w:lineRule="auto" w:before="30"/>
        <w:ind w:right="440"/>
        <w:jc w:val="both"/>
      </w:pPr>
      <w:r>
        <w:rPr/>
        <w:t>基金等</w:t>
      </w:r>
      <w:r>
        <w:rPr>
          <w:spacing w:val="-7"/>
        </w:rPr>
        <w:t>）</w:t>
      </w:r>
      <w:r>
        <w:rPr>
          <w:spacing w:val="-1"/>
        </w:rPr>
        <w:t>项目或省部级重点重大科研项目</w:t>
      </w:r>
      <w:r>
        <w:rPr/>
        <w:t>（</w:t>
      </w:r>
      <w:r>
        <w:rPr>
          <w:spacing w:val="-2"/>
        </w:rPr>
        <w:t>国家自然科学基</w:t>
      </w:r>
      <w:r>
        <w:rPr/>
        <w:t>金青年基金项目除外</w:t>
      </w:r>
      <w:r>
        <w:rPr>
          <w:spacing w:val="-7"/>
        </w:rPr>
        <w:t>）</w:t>
      </w:r>
      <w:r>
        <w:rPr>
          <w:spacing w:val="-3"/>
        </w:rPr>
        <w:t>。重点项目申请人</w:t>
      </w:r>
      <w:r>
        <w:rPr>
          <w:rFonts w:ascii="Microsoft JhengHei" w:eastAsia="Microsoft JhengHei" w:hint="eastAsia"/>
          <w:b/>
        </w:rPr>
        <w:t>未主持</w:t>
      </w:r>
      <w:r>
        <w:rPr/>
        <w:t>过国家或省部级重点重大科研项目。</w:t>
      </w:r>
    </w:p>
    <w:p>
      <w:pPr>
        <w:pStyle w:val="BodyText"/>
        <w:spacing w:before="111"/>
        <w:ind w:left="860"/>
      </w:pPr>
      <w:r>
        <w:rPr/>
        <w:t>（四）符合申报通知、各专题或指南方向的具体要求。</w:t>
      </w:r>
    </w:p>
    <w:p>
      <w:pPr>
        <w:pStyle w:val="BodyText"/>
        <w:ind w:left="860"/>
        <w:rPr>
          <w:rFonts w:ascii="黑体" w:eastAsia="黑体" w:hint="eastAsia"/>
        </w:rPr>
      </w:pPr>
      <w:bookmarkStart w:name="三、资助强度与数量" w:id="3"/>
      <w:bookmarkEnd w:id="3"/>
      <w:r>
        <w:rPr/>
      </w:r>
      <w:r>
        <w:rPr>
          <w:rFonts w:ascii="黑体" w:eastAsia="黑体" w:hint="eastAsia"/>
        </w:rPr>
        <w:t>三、资助强度与数量</w:t>
      </w:r>
    </w:p>
    <w:p>
      <w:pPr>
        <w:pStyle w:val="BodyText"/>
        <w:spacing w:before="236"/>
        <w:ind w:left="860"/>
      </w:pPr>
      <w:r>
        <w:rPr/>
        <w:t>本年度拟择优资助项目 </w:t>
      </w:r>
      <w:r>
        <w:rPr>
          <w:rFonts w:ascii="Times New Roman" w:eastAsia="Times New Roman"/>
        </w:rPr>
        <w:t>81 </w:t>
      </w:r>
      <w:r>
        <w:rPr/>
        <w:t>项，包括面上项目和重点项</w:t>
      </w:r>
    </w:p>
    <w:p>
      <w:pPr>
        <w:pStyle w:val="BodyText"/>
        <w:spacing w:before="149"/>
      </w:pPr>
      <w:r>
        <w:rPr/>
        <w:t>目。</w:t>
      </w:r>
    </w:p>
    <w:p>
      <w:pPr>
        <w:pStyle w:val="BodyText"/>
        <w:spacing w:before="149"/>
        <w:ind w:left="860"/>
      </w:pPr>
      <w:r>
        <w:rPr/>
        <w:t>（一）面上项目拟资助 </w:t>
      </w:r>
      <w:r>
        <w:rPr>
          <w:rFonts w:ascii="Times New Roman" w:eastAsia="Times New Roman"/>
        </w:rPr>
        <w:t>79 </w:t>
      </w:r>
      <w:r>
        <w:rPr/>
        <w:t>项，资助强度为 </w:t>
      </w:r>
      <w:r>
        <w:rPr>
          <w:rFonts w:ascii="Times New Roman" w:eastAsia="Times New Roman"/>
        </w:rPr>
        <w:t>15 </w:t>
      </w:r>
      <w:r>
        <w:rPr/>
        <w:t>万元</w:t>
      </w:r>
      <w:r>
        <w:rPr>
          <w:rFonts w:ascii="Times New Roman" w:eastAsia="Times New Roman"/>
        </w:rPr>
        <w:t>/</w:t>
      </w:r>
      <w:r>
        <w:rPr/>
        <w:t>项，</w:t>
      </w:r>
    </w:p>
    <w:p>
      <w:pPr>
        <w:pStyle w:val="BodyText"/>
        <w:spacing w:line="326" w:lineRule="auto" w:before="152"/>
        <w:ind w:right="440"/>
        <w:jc w:val="both"/>
      </w:pPr>
      <w:r>
        <w:rPr>
          <w:spacing w:val="-7"/>
        </w:rPr>
        <w:t>经费事前一次性拨付，实施周期为 </w:t>
      </w:r>
      <w:r>
        <w:rPr>
          <w:rFonts w:ascii="Times New Roman" w:eastAsia="Times New Roman"/>
        </w:rPr>
        <w:t>3 </w:t>
      </w:r>
      <w:r>
        <w:rPr>
          <w:spacing w:val="-3"/>
        </w:rPr>
        <w:t>年。面上项目对粤东西北地区按适当比例择优支持。</w:t>
      </w:r>
    </w:p>
    <w:p>
      <w:pPr>
        <w:pStyle w:val="BodyText"/>
        <w:spacing w:before="3"/>
        <w:ind w:left="860"/>
      </w:pPr>
      <w:r>
        <w:rPr/>
        <w:t>（二）重点项目拟资助 </w:t>
      </w:r>
      <w:r>
        <w:rPr>
          <w:rFonts w:ascii="Times New Roman" w:eastAsia="Times New Roman"/>
        </w:rPr>
        <w:t>2 </w:t>
      </w:r>
      <w:r>
        <w:rPr/>
        <w:t>项，资助强度为 </w:t>
      </w:r>
      <w:r>
        <w:rPr>
          <w:rFonts w:ascii="Times New Roman" w:eastAsia="Times New Roman"/>
        </w:rPr>
        <w:t>50 </w:t>
      </w:r>
      <w:r>
        <w:rPr/>
        <w:t>万元</w:t>
      </w:r>
      <w:r>
        <w:rPr>
          <w:rFonts w:ascii="Times New Roman" w:eastAsia="Times New Roman"/>
        </w:rPr>
        <w:t>/</w:t>
      </w:r>
      <w:r>
        <w:rPr/>
        <w:t>项，</w:t>
      </w:r>
    </w:p>
    <w:p>
      <w:pPr>
        <w:pStyle w:val="BodyText"/>
        <w:spacing w:before="152"/>
      </w:pPr>
      <w:r>
        <w:rPr/>
        <w:t>经费事前一次性拨付，实施周期为 </w:t>
      </w:r>
      <w:r>
        <w:rPr>
          <w:rFonts w:ascii="Times New Roman" w:eastAsia="Times New Roman"/>
        </w:rPr>
        <w:t>3 </w:t>
      </w:r>
      <w:r>
        <w:rPr/>
        <w:t>年。</w:t>
      </w:r>
    </w:p>
    <w:p>
      <w:pPr>
        <w:pStyle w:val="BodyText"/>
        <w:spacing w:before="127"/>
        <w:ind w:left="860"/>
        <w:rPr>
          <w:rFonts w:ascii="黑体" w:eastAsia="黑体" w:hint="eastAsia"/>
        </w:rPr>
      </w:pPr>
      <w:bookmarkStart w:name="四、预期效益及成果要求" w:id="4"/>
      <w:bookmarkEnd w:id="4"/>
      <w:r>
        <w:rPr/>
      </w:r>
      <w:r>
        <w:rPr>
          <w:rFonts w:ascii="黑体" w:eastAsia="黑体" w:hint="eastAsia"/>
        </w:rPr>
        <w:t>四、预期效益及成果要求</w:t>
      </w:r>
    </w:p>
    <w:p>
      <w:pPr>
        <w:pStyle w:val="BodyText"/>
        <w:spacing w:line="364" w:lineRule="auto"/>
        <w:ind w:right="437" w:firstLine="640"/>
      </w:pPr>
      <w:r>
        <w:rPr>
          <w:w w:val="95"/>
        </w:rPr>
        <w:t>（一</w:t>
      </w:r>
      <w:r>
        <w:rPr>
          <w:spacing w:val="-3"/>
          <w:w w:val="95"/>
        </w:rPr>
        <w:t>）</w:t>
      </w:r>
      <w:r>
        <w:rPr>
          <w:spacing w:val="-2"/>
          <w:w w:val="95"/>
        </w:rPr>
        <w:t>在医工结合、交叉学科等领域取得突破，形成有 </w:t>
      </w:r>
      <w:r>
        <w:rPr>
          <w:spacing w:val="-2"/>
        </w:rPr>
        <w:t>转化潜质的技术，推动医疗行业发展。</w:t>
      </w:r>
    </w:p>
    <w:p>
      <w:pPr>
        <w:pStyle w:val="BodyText"/>
        <w:spacing w:line="364" w:lineRule="auto" w:before="2"/>
        <w:ind w:right="437" w:firstLine="640"/>
      </w:pPr>
      <w:r>
        <w:rPr/>
        <w:t>（二</w:t>
      </w:r>
      <w:r>
        <w:rPr>
          <w:spacing w:val="-12"/>
        </w:rPr>
        <w:t>）</w:t>
      </w:r>
      <w:r>
        <w:rPr/>
        <w:t>面上项目公开发表高质量论文或者申请发明专利</w:t>
      </w:r>
      <w:r>
        <w:rPr>
          <w:spacing w:val="-22"/>
        </w:rPr>
        <w:t>不少于 </w:t>
      </w:r>
      <w:r>
        <w:rPr>
          <w:rFonts w:ascii="Times New Roman" w:eastAsia="Times New Roman"/>
        </w:rPr>
        <w:t>1 </w:t>
      </w:r>
      <w:r>
        <w:rPr>
          <w:spacing w:val="-3"/>
        </w:rPr>
        <w:t>篇</w:t>
      </w:r>
      <w:r>
        <w:rPr/>
        <w:t>（件</w:t>
      </w:r>
      <w:r>
        <w:rPr>
          <w:spacing w:val="-4"/>
        </w:rPr>
        <w:t>）</w:t>
      </w:r>
      <w:r>
        <w:rPr>
          <w:spacing w:val="-2"/>
        </w:rPr>
        <w:t>，重点项目公开发表高质量论文或者申请</w:t>
      </w:r>
    </w:p>
    <w:p>
      <w:pPr>
        <w:pStyle w:val="BodyText"/>
        <w:spacing w:line="364" w:lineRule="auto" w:before="2"/>
        <w:ind w:right="437"/>
        <w:jc w:val="both"/>
      </w:pPr>
      <w:r>
        <w:rPr>
          <w:spacing w:val="-9"/>
        </w:rPr>
        <w:t>发明专利合计不少于 </w:t>
      </w:r>
      <w:r>
        <w:rPr>
          <w:rFonts w:ascii="Times New Roman" w:hAnsi="Times New Roman" w:eastAsia="Times New Roman"/>
        </w:rPr>
        <w:t>3 </w:t>
      </w:r>
      <w:r>
        <w:rPr>
          <w:spacing w:val="-3"/>
        </w:rPr>
        <w:t>篇</w:t>
      </w:r>
      <w:r>
        <w:rPr/>
        <w:t>（件</w:t>
      </w:r>
      <w:r>
        <w:rPr>
          <w:spacing w:val="-3"/>
        </w:rPr>
        <w:t>）。鼓励发表“三类高质量论</w:t>
      </w:r>
      <w:r>
        <w:rPr>
          <w:spacing w:val="-4"/>
        </w:rPr>
        <w:t>文”，即发表在具有国际影响力的国内科技期刊、业界公认</w:t>
      </w:r>
      <w:r>
        <w:rPr>
          <w:spacing w:val="-5"/>
        </w:rPr>
        <w:t>的国际顶级或重要科技期刊的论文，以及在国内外顶级学术会议上进行报告的论文。发表论文以标注基金项目为准。</w:t>
      </w:r>
    </w:p>
    <w:p>
      <w:pPr>
        <w:pStyle w:val="BodyText"/>
        <w:spacing w:line="364" w:lineRule="auto" w:before="3"/>
        <w:ind w:right="393" w:firstLine="640"/>
      </w:pPr>
      <w:r>
        <w:rPr/>
        <w:t>（三）鼓励在专著出版、专家共识、标准规范、人才培养、成果应用等方面形成多样化研究成果。</w:t>
      </w:r>
    </w:p>
    <w:p>
      <w:pPr>
        <w:spacing w:after="0" w:line="364" w:lineRule="auto"/>
        <w:sectPr>
          <w:pgSz w:w="11910" w:h="16840"/>
          <w:pgMar w:header="0" w:footer="966" w:top="1500" w:bottom="1160" w:left="1580" w:right="1360"/>
        </w:sectPr>
      </w:pPr>
    </w:p>
    <w:p>
      <w:pPr>
        <w:pStyle w:val="BodyText"/>
        <w:spacing w:before="30"/>
        <w:ind w:left="860"/>
      </w:pPr>
      <w:r>
        <w:rPr/>
        <w:t>（四）完成各专题和研究方向规定的成果要求。</w:t>
      </w:r>
    </w:p>
    <w:p>
      <w:pPr>
        <w:pStyle w:val="BodyText"/>
        <w:ind w:left="860"/>
        <w:rPr>
          <w:rFonts w:ascii="黑体" w:eastAsia="黑体" w:hint="eastAsia"/>
        </w:rPr>
      </w:pPr>
      <w:r>
        <w:rPr>
          <w:rFonts w:ascii="黑体" w:eastAsia="黑体" w:hint="eastAsia"/>
        </w:rPr>
        <w:t>五、申报方向和要求</w:t>
      </w:r>
    </w:p>
    <w:p>
      <w:pPr>
        <w:pStyle w:val="BodyText"/>
        <w:spacing w:before="235"/>
        <w:ind w:left="860"/>
      </w:pPr>
      <w:r>
        <w:rPr/>
        <w:t>本年度设 </w:t>
      </w:r>
      <w:r>
        <w:rPr>
          <w:rFonts w:ascii="Times New Roman" w:eastAsia="Times New Roman"/>
        </w:rPr>
        <w:t>2 </w:t>
      </w:r>
      <w:r>
        <w:rPr/>
        <w:t>个专题，</w:t>
      </w:r>
      <w:r>
        <w:rPr>
          <w:rFonts w:ascii="Times New Roman" w:eastAsia="Times New Roman"/>
        </w:rPr>
        <w:t>10 </w:t>
      </w:r>
      <w:r>
        <w:rPr/>
        <w:t>个研究方向，总体情况见表 </w:t>
      </w:r>
      <w:r>
        <w:rPr>
          <w:rFonts w:ascii="Times New Roman" w:eastAsia="Times New Roman"/>
        </w:rPr>
        <w:t>1</w:t>
      </w:r>
      <w:r>
        <w:rPr/>
        <w:t>。</w:t>
      </w:r>
    </w:p>
    <w:p>
      <w:pPr>
        <w:spacing w:before="154"/>
        <w:ind w:left="1667" w:right="0" w:firstLine="0"/>
        <w:jc w:val="left"/>
        <w:rPr>
          <w:b/>
          <w:sz w:val="28"/>
        </w:rPr>
      </w:pPr>
      <w:r>
        <w:rPr>
          <w:b/>
          <w:sz w:val="28"/>
        </w:rPr>
        <w:t>表 1 指南研究方向及计划支持项目情况总览</w:t>
      </w:r>
    </w:p>
    <w:p>
      <w:pPr>
        <w:pStyle w:val="BodyText"/>
        <w:spacing w:before="4"/>
        <w:ind w:left="0"/>
        <w:rPr>
          <w:b/>
          <w:sz w:val="10"/>
        </w:rPr>
      </w:pP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6"/>
        <w:gridCol w:w="3480"/>
        <w:gridCol w:w="1199"/>
        <w:gridCol w:w="1248"/>
        <w:gridCol w:w="1383"/>
      </w:tblGrid>
      <w:tr>
        <w:trPr>
          <w:trHeight w:val="737" w:hRule="atLeast"/>
        </w:trPr>
        <w:tc>
          <w:tcPr>
            <w:tcW w:w="1426" w:type="dxa"/>
          </w:tcPr>
          <w:p>
            <w:pPr>
              <w:pStyle w:val="TableParagraph"/>
              <w:spacing w:before="216"/>
              <w:ind w:left="472"/>
              <w:rPr>
                <w:b/>
                <w:sz w:val="24"/>
              </w:rPr>
            </w:pPr>
            <w:r>
              <w:rPr>
                <w:b/>
                <w:sz w:val="24"/>
              </w:rPr>
              <w:t>专题</w:t>
            </w:r>
          </w:p>
        </w:tc>
        <w:tc>
          <w:tcPr>
            <w:tcW w:w="3480" w:type="dxa"/>
          </w:tcPr>
          <w:p>
            <w:pPr>
              <w:pStyle w:val="TableParagraph"/>
              <w:spacing w:before="216"/>
              <w:ind w:left="1238" w:right="1227"/>
              <w:jc w:val="center"/>
              <w:rPr>
                <w:b/>
                <w:sz w:val="24"/>
              </w:rPr>
            </w:pPr>
            <w:r>
              <w:rPr>
                <w:b/>
                <w:sz w:val="24"/>
              </w:rPr>
              <w:t>研究方向</w:t>
            </w:r>
          </w:p>
        </w:tc>
        <w:tc>
          <w:tcPr>
            <w:tcW w:w="1199" w:type="dxa"/>
          </w:tcPr>
          <w:p>
            <w:pPr>
              <w:pStyle w:val="TableParagraph"/>
              <w:spacing w:before="216"/>
              <w:ind w:left="98" w:right="86"/>
              <w:jc w:val="center"/>
              <w:rPr>
                <w:b/>
                <w:sz w:val="24"/>
              </w:rPr>
            </w:pPr>
            <w:r>
              <w:rPr>
                <w:b/>
                <w:sz w:val="24"/>
              </w:rPr>
              <w:t>申报代码</w:t>
            </w:r>
          </w:p>
        </w:tc>
        <w:tc>
          <w:tcPr>
            <w:tcW w:w="1248" w:type="dxa"/>
          </w:tcPr>
          <w:p>
            <w:pPr>
              <w:pStyle w:val="TableParagraph"/>
              <w:spacing w:before="216"/>
              <w:ind w:left="123" w:right="110"/>
              <w:jc w:val="center"/>
              <w:rPr>
                <w:b/>
                <w:sz w:val="24"/>
              </w:rPr>
            </w:pPr>
            <w:r>
              <w:rPr>
                <w:b/>
                <w:sz w:val="24"/>
              </w:rPr>
              <w:t>学科代码</w:t>
            </w:r>
          </w:p>
        </w:tc>
        <w:tc>
          <w:tcPr>
            <w:tcW w:w="1383" w:type="dxa"/>
          </w:tcPr>
          <w:p>
            <w:pPr>
              <w:pStyle w:val="TableParagraph"/>
              <w:spacing w:line="242" w:lineRule="auto" w:before="60"/>
              <w:ind w:left="331" w:right="317"/>
              <w:rPr>
                <w:b/>
                <w:sz w:val="24"/>
              </w:rPr>
            </w:pPr>
            <w:r>
              <w:rPr>
                <w:b/>
                <w:sz w:val="24"/>
              </w:rPr>
              <w:t>拟支持项目数</w:t>
            </w:r>
          </w:p>
        </w:tc>
      </w:tr>
      <w:tr>
        <w:trPr>
          <w:trHeight w:val="701" w:hRule="atLeast"/>
        </w:trPr>
        <w:tc>
          <w:tcPr>
            <w:tcW w:w="1426" w:type="dxa"/>
            <w:tcBorders>
              <w:bottom w:val="nil"/>
            </w:tcBorders>
          </w:tcPr>
          <w:p>
            <w:pPr>
              <w:pStyle w:val="TableParagraph"/>
              <w:rPr>
                <w:rFonts w:ascii="Times New Roman"/>
                <w:sz w:val="24"/>
              </w:rPr>
            </w:pPr>
          </w:p>
        </w:tc>
        <w:tc>
          <w:tcPr>
            <w:tcW w:w="3480" w:type="dxa"/>
            <w:tcBorders>
              <w:bottom w:val="nil"/>
            </w:tcBorders>
          </w:tcPr>
          <w:p>
            <w:pPr>
              <w:pStyle w:val="TableParagraph"/>
              <w:spacing w:line="310" w:lineRule="atLeast" w:before="58"/>
              <w:ind w:left="107" w:right="96"/>
              <w:rPr>
                <w:sz w:val="24"/>
              </w:rPr>
            </w:pPr>
            <w:r>
              <w:rPr>
                <w:rFonts w:ascii="Times New Roman" w:eastAsia="Times New Roman"/>
                <w:sz w:val="24"/>
              </w:rPr>
              <w:t>1.</w:t>
            </w:r>
            <w:r>
              <w:rPr>
                <w:sz w:val="24"/>
              </w:rPr>
              <w:t>水凝胶或纳米囊泡药物载体系统的构建及其在再生修复、疾</w:t>
            </w:r>
          </w:p>
        </w:tc>
        <w:tc>
          <w:tcPr>
            <w:tcW w:w="1199" w:type="dxa"/>
            <w:tcBorders>
              <w:bottom w:val="nil"/>
            </w:tcBorders>
          </w:tcPr>
          <w:p>
            <w:pPr>
              <w:pStyle w:val="TableParagraph"/>
              <w:spacing w:before="10"/>
              <w:rPr>
                <w:b/>
                <w:sz w:val="31"/>
              </w:rPr>
            </w:pPr>
          </w:p>
          <w:p>
            <w:pPr>
              <w:pStyle w:val="TableParagraph"/>
              <w:spacing w:line="273" w:lineRule="exact"/>
              <w:ind w:left="98" w:right="86"/>
              <w:jc w:val="center"/>
              <w:rPr>
                <w:rFonts w:ascii="Times New Roman"/>
                <w:sz w:val="24"/>
              </w:rPr>
            </w:pPr>
            <w:r>
              <w:rPr>
                <w:rFonts w:ascii="Times New Roman"/>
                <w:sz w:val="24"/>
              </w:rPr>
              <w:t>ZWA101</w:t>
            </w:r>
          </w:p>
        </w:tc>
        <w:tc>
          <w:tcPr>
            <w:tcW w:w="1248" w:type="dxa"/>
            <w:tcBorders>
              <w:bottom w:val="nil"/>
            </w:tcBorders>
          </w:tcPr>
          <w:p>
            <w:pPr>
              <w:pStyle w:val="TableParagraph"/>
              <w:spacing w:before="10"/>
              <w:rPr>
                <w:b/>
                <w:sz w:val="31"/>
              </w:rPr>
            </w:pPr>
          </w:p>
          <w:p>
            <w:pPr>
              <w:pStyle w:val="TableParagraph"/>
              <w:spacing w:line="273" w:lineRule="exact"/>
              <w:ind w:left="118" w:right="110"/>
              <w:jc w:val="center"/>
              <w:rPr>
                <w:rFonts w:ascii="Times New Roman"/>
                <w:sz w:val="24"/>
              </w:rPr>
            </w:pPr>
            <w:r>
              <w:rPr>
                <w:rFonts w:ascii="Times New Roman"/>
                <w:sz w:val="24"/>
              </w:rPr>
              <w:t>H18/C10</w:t>
            </w:r>
          </w:p>
        </w:tc>
        <w:tc>
          <w:tcPr>
            <w:tcW w:w="1383" w:type="dxa"/>
            <w:tcBorders>
              <w:bottom w:val="nil"/>
            </w:tcBorders>
          </w:tcPr>
          <w:p>
            <w:pPr>
              <w:pStyle w:val="TableParagraph"/>
              <w:rPr>
                <w:rFonts w:ascii="Times New Roman"/>
                <w:sz w:val="24"/>
              </w:rPr>
            </w:pPr>
          </w:p>
        </w:tc>
      </w:tr>
      <w:tr>
        <w:trPr>
          <w:trHeight w:val="388" w:hRule="atLeast"/>
        </w:trPr>
        <w:tc>
          <w:tcPr>
            <w:tcW w:w="1426" w:type="dxa"/>
            <w:tcBorders>
              <w:top w:val="nil"/>
              <w:bottom w:val="nil"/>
            </w:tcBorders>
          </w:tcPr>
          <w:p>
            <w:pPr>
              <w:pStyle w:val="TableParagraph"/>
              <w:rPr>
                <w:rFonts w:ascii="Times New Roman"/>
                <w:sz w:val="24"/>
              </w:rPr>
            </w:pPr>
          </w:p>
        </w:tc>
        <w:tc>
          <w:tcPr>
            <w:tcW w:w="3480" w:type="dxa"/>
            <w:tcBorders>
              <w:top w:val="nil"/>
            </w:tcBorders>
          </w:tcPr>
          <w:p>
            <w:pPr>
              <w:pStyle w:val="TableParagraph"/>
              <w:spacing w:line="291" w:lineRule="exact"/>
              <w:ind w:left="107"/>
              <w:rPr>
                <w:sz w:val="24"/>
              </w:rPr>
            </w:pPr>
            <w:r>
              <w:rPr>
                <w:sz w:val="24"/>
              </w:rPr>
              <w:t>病靶向治疗的应用基础研究</w:t>
            </w:r>
          </w:p>
        </w:tc>
        <w:tc>
          <w:tcPr>
            <w:tcW w:w="1199" w:type="dxa"/>
            <w:tcBorders>
              <w:top w:val="nil"/>
            </w:tcBorders>
          </w:tcPr>
          <w:p>
            <w:pPr>
              <w:pStyle w:val="TableParagraph"/>
              <w:rPr>
                <w:rFonts w:ascii="Times New Roman"/>
                <w:sz w:val="24"/>
              </w:rPr>
            </w:pPr>
          </w:p>
        </w:tc>
        <w:tc>
          <w:tcPr>
            <w:tcW w:w="1248" w:type="dxa"/>
            <w:tcBorders>
              <w:top w:val="nil"/>
            </w:tcBorders>
          </w:tcPr>
          <w:p>
            <w:pPr>
              <w:pStyle w:val="TableParagraph"/>
              <w:rPr>
                <w:rFonts w:ascii="Times New Roman"/>
                <w:sz w:val="24"/>
              </w:rPr>
            </w:pPr>
          </w:p>
        </w:tc>
        <w:tc>
          <w:tcPr>
            <w:tcW w:w="1383" w:type="dxa"/>
            <w:tcBorders>
              <w:top w:val="nil"/>
              <w:bottom w:val="nil"/>
            </w:tcBorders>
          </w:tcPr>
          <w:p>
            <w:pPr>
              <w:pStyle w:val="TableParagraph"/>
              <w:rPr>
                <w:rFonts w:ascii="Times New Roman"/>
                <w:sz w:val="24"/>
              </w:rPr>
            </w:pPr>
          </w:p>
        </w:tc>
      </w:tr>
      <w:tr>
        <w:trPr>
          <w:trHeight w:val="993" w:hRule="atLeast"/>
        </w:trPr>
        <w:tc>
          <w:tcPr>
            <w:tcW w:w="1426" w:type="dxa"/>
            <w:tcBorders>
              <w:top w:val="nil"/>
              <w:bottom w:val="nil"/>
            </w:tcBorders>
          </w:tcPr>
          <w:p>
            <w:pPr>
              <w:pStyle w:val="TableParagraph"/>
              <w:rPr>
                <w:rFonts w:ascii="Times New Roman"/>
                <w:sz w:val="24"/>
              </w:rPr>
            </w:pPr>
          </w:p>
        </w:tc>
        <w:tc>
          <w:tcPr>
            <w:tcW w:w="3480" w:type="dxa"/>
            <w:tcBorders>
              <w:bottom w:val="nil"/>
            </w:tcBorders>
          </w:tcPr>
          <w:p>
            <w:pPr>
              <w:pStyle w:val="TableParagraph"/>
              <w:spacing w:line="310" w:lineRule="atLeast" w:before="57"/>
              <w:ind w:left="107"/>
              <w:rPr>
                <w:sz w:val="24"/>
              </w:rPr>
            </w:pPr>
            <w:r>
              <w:rPr>
                <w:rFonts w:ascii="Times New Roman" w:eastAsia="Times New Roman"/>
                <w:sz w:val="24"/>
              </w:rPr>
              <w:t>2.</w:t>
            </w:r>
            <w:r>
              <w:rPr>
                <w:sz w:val="24"/>
              </w:rPr>
              <w:t>类人体组织工程支架或三维多细胞体系的构建及其在盆底、肌腱组织损伤修复中的应用基</w:t>
            </w:r>
          </w:p>
        </w:tc>
        <w:tc>
          <w:tcPr>
            <w:tcW w:w="1199" w:type="dxa"/>
            <w:tcBorders>
              <w:bottom w:val="nil"/>
            </w:tcBorders>
          </w:tcPr>
          <w:p>
            <w:pPr>
              <w:pStyle w:val="TableParagraph"/>
              <w:rPr>
                <w:b/>
                <w:sz w:val="26"/>
              </w:rPr>
            </w:pPr>
          </w:p>
          <w:p>
            <w:pPr>
              <w:pStyle w:val="TableParagraph"/>
              <w:spacing w:before="211"/>
              <w:ind w:left="98" w:right="86"/>
              <w:jc w:val="center"/>
              <w:rPr>
                <w:rFonts w:ascii="Times New Roman"/>
                <w:sz w:val="24"/>
              </w:rPr>
            </w:pPr>
            <w:r>
              <w:rPr>
                <w:rFonts w:ascii="Times New Roman"/>
                <w:sz w:val="24"/>
              </w:rPr>
              <w:t>ZWA102</w:t>
            </w:r>
          </w:p>
        </w:tc>
        <w:tc>
          <w:tcPr>
            <w:tcW w:w="1248" w:type="dxa"/>
            <w:tcBorders>
              <w:bottom w:val="nil"/>
            </w:tcBorders>
          </w:tcPr>
          <w:p>
            <w:pPr>
              <w:pStyle w:val="TableParagraph"/>
              <w:rPr>
                <w:b/>
                <w:sz w:val="26"/>
              </w:rPr>
            </w:pPr>
          </w:p>
          <w:p>
            <w:pPr>
              <w:pStyle w:val="TableParagraph"/>
              <w:spacing w:before="211"/>
              <w:ind w:left="118" w:right="110"/>
              <w:jc w:val="center"/>
              <w:rPr>
                <w:rFonts w:ascii="Times New Roman"/>
                <w:sz w:val="24"/>
              </w:rPr>
            </w:pPr>
            <w:r>
              <w:rPr>
                <w:rFonts w:ascii="Times New Roman"/>
                <w:sz w:val="24"/>
              </w:rPr>
              <w:t>H18/C10</w:t>
            </w:r>
          </w:p>
        </w:tc>
        <w:tc>
          <w:tcPr>
            <w:tcW w:w="1383" w:type="dxa"/>
            <w:tcBorders>
              <w:top w:val="nil"/>
              <w:bottom w:val="nil"/>
            </w:tcBorders>
          </w:tcPr>
          <w:p>
            <w:pPr>
              <w:pStyle w:val="TableParagraph"/>
              <w:rPr>
                <w:rFonts w:ascii="Times New Roman"/>
                <w:sz w:val="24"/>
              </w:rPr>
            </w:pPr>
          </w:p>
        </w:tc>
      </w:tr>
      <w:tr>
        <w:trPr>
          <w:trHeight w:val="368" w:hRule="atLeast"/>
        </w:trPr>
        <w:tc>
          <w:tcPr>
            <w:tcW w:w="1426" w:type="dxa"/>
            <w:tcBorders>
              <w:top w:val="nil"/>
              <w:bottom w:val="nil"/>
            </w:tcBorders>
          </w:tcPr>
          <w:p>
            <w:pPr>
              <w:pStyle w:val="TableParagraph"/>
              <w:rPr>
                <w:rFonts w:ascii="Times New Roman"/>
                <w:sz w:val="24"/>
              </w:rPr>
            </w:pPr>
          </w:p>
        </w:tc>
        <w:tc>
          <w:tcPr>
            <w:tcW w:w="3480" w:type="dxa"/>
            <w:tcBorders>
              <w:top w:val="nil"/>
            </w:tcBorders>
          </w:tcPr>
          <w:p>
            <w:pPr>
              <w:pStyle w:val="TableParagraph"/>
              <w:spacing w:before="2"/>
              <w:ind w:left="107"/>
              <w:rPr>
                <w:sz w:val="24"/>
              </w:rPr>
            </w:pPr>
            <w:r>
              <w:rPr>
                <w:sz w:val="24"/>
              </w:rPr>
              <w:t>础研究</w:t>
            </w:r>
          </w:p>
        </w:tc>
        <w:tc>
          <w:tcPr>
            <w:tcW w:w="1199" w:type="dxa"/>
            <w:tcBorders>
              <w:top w:val="nil"/>
            </w:tcBorders>
          </w:tcPr>
          <w:p>
            <w:pPr>
              <w:pStyle w:val="TableParagraph"/>
              <w:rPr>
                <w:rFonts w:ascii="Times New Roman"/>
                <w:sz w:val="24"/>
              </w:rPr>
            </w:pPr>
          </w:p>
        </w:tc>
        <w:tc>
          <w:tcPr>
            <w:tcW w:w="1248" w:type="dxa"/>
            <w:tcBorders>
              <w:top w:val="nil"/>
            </w:tcBorders>
          </w:tcPr>
          <w:p>
            <w:pPr>
              <w:pStyle w:val="TableParagraph"/>
              <w:rPr>
                <w:rFonts w:ascii="Times New Roman"/>
                <w:sz w:val="24"/>
              </w:rPr>
            </w:pPr>
          </w:p>
        </w:tc>
        <w:tc>
          <w:tcPr>
            <w:tcW w:w="1383" w:type="dxa"/>
            <w:tcBorders>
              <w:top w:val="nil"/>
              <w:bottom w:val="nil"/>
            </w:tcBorders>
          </w:tcPr>
          <w:p>
            <w:pPr>
              <w:pStyle w:val="TableParagraph"/>
              <w:rPr>
                <w:rFonts w:ascii="Times New Roman"/>
                <w:sz w:val="24"/>
              </w:rPr>
            </w:pPr>
          </w:p>
        </w:tc>
      </w:tr>
      <w:tr>
        <w:trPr>
          <w:trHeight w:val="1050" w:hRule="atLeast"/>
        </w:trPr>
        <w:tc>
          <w:tcPr>
            <w:tcW w:w="1426" w:type="dxa"/>
            <w:vMerge w:val="restart"/>
            <w:tcBorders>
              <w:top w:val="nil"/>
              <w:bottom w:val="nil"/>
            </w:tcBorders>
          </w:tcPr>
          <w:p>
            <w:pPr>
              <w:pStyle w:val="TableParagraph"/>
              <w:spacing w:before="1"/>
              <w:rPr>
                <w:b/>
                <w:sz w:val="20"/>
              </w:rPr>
            </w:pPr>
          </w:p>
          <w:p>
            <w:pPr>
              <w:pStyle w:val="TableParagraph"/>
              <w:spacing w:line="242" w:lineRule="auto"/>
              <w:ind w:left="112" w:right="96"/>
              <w:jc w:val="both"/>
              <w:rPr>
                <w:b/>
                <w:sz w:val="24"/>
              </w:rPr>
            </w:pPr>
            <w:r>
              <w:rPr>
                <w:b/>
                <w:sz w:val="24"/>
              </w:rPr>
              <w:t>专题一：生物材料与临床医学结合</w:t>
            </w:r>
          </w:p>
        </w:tc>
        <w:tc>
          <w:tcPr>
            <w:tcW w:w="3480" w:type="dxa"/>
          </w:tcPr>
          <w:p>
            <w:pPr>
              <w:pStyle w:val="TableParagraph"/>
              <w:spacing w:line="242" w:lineRule="auto" w:before="61"/>
              <w:ind w:left="107" w:right="96"/>
              <w:jc w:val="both"/>
              <w:rPr>
                <w:sz w:val="24"/>
              </w:rPr>
            </w:pPr>
            <w:r>
              <w:rPr>
                <w:rFonts w:ascii="Times New Roman" w:eastAsia="Times New Roman"/>
                <w:sz w:val="24"/>
              </w:rPr>
              <w:t>3.</w:t>
            </w:r>
            <w:r>
              <w:rPr>
                <w:spacing w:val="-5"/>
                <w:sz w:val="24"/>
              </w:rPr>
              <w:t>新型生物材料在骨、软骨损伤</w:t>
            </w:r>
            <w:r>
              <w:rPr>
                <w:spacing w:val="-11"/>
                <w:sz w:val="24"/>
              </w:rPr>
              <w:t>及其伴随的神经损伤、软组织损</w:t>
            </w:r>
            <w:r>
              <w:rPr>
                <w:sz w:val="24"/>
              </w:rPr>
              <w:t>伤再生修复中的应用基础研究</w:t>
            </w:r>
          </w:p>
        </w:tc>
        <w:tc>
          <w:tcPr>
            <w:tcW w:w="1199" w:type="dxa"/>
          </w:tcPr>
          <w:p>
            <w:pPr>
              <w:pStyle w:val="TableParagraph"/>
              <w:spacing w:before="1"/>
              <w:rPr>
                <w:b/>
                <w:sz w:val="30"/>
              </w:rPr>
            </w:pPr>
          </w:p>
          <w:p>
            <w:pPr>
              <w:pStyle w:val="TableParagraph"/>
              <w:spacing w:before="1"/>
              <w:ind w:left="98" w:right="86"/>
              <w:jc w:val="center"/>
              <w:rPr>
                <w:rFonts w:ascii="Times New Roman"/>
                <w:sz w:val="24"/>
              </w:rPr>
            </w:pPr>
            <w:r>
              <w:rPr>
                <w:rFonts w:ascii="Times New Roman"/>
                <w:sz w:val="24"/>
              </w:rPr>
              <w:t>ZWA103</w:t>
            </w:r>
          </w:p>
        </w:tc>
        <w:tc>
          <w:tcPr>
            <w:tcW w:w="1248" w:type="dxa"/>
          </w:tcPr>
          <w:p>
            <w:pPr>
              <w:pStyle w:val="TableParagraph"/>
              <w:spacing w:before="230"/>
              <w:ind w:left="120" w:right="110"/>
              <w:jc w:val="center"/>
              <w:rPr>
                <w:rFonts w:ascii="Times New Roman"/>
                <w:sz w:val="24"/>
              </w:rPr>
            </w:pPr>
            <w:r>
              <w:rPr>
                <w:rFonts w:ascii="Times New Roman"/>
                <w:sz w:val="24"/>
              </w:rPr>
              <w:t>H06/H18</w:t>
            </w:r>
          </w:p>
          <w:p>
            <w:pPr>
              <w:pStyle w:val="TableParagraph"/>
              <w:spacing w:before="36"/>
              <w:ind w:left="123" w:right="110"/>
              <w:jc w:val="center"/>
              <w:rPr>
                <w:rFonts w:ascii="Times New Roman"/>
                <w:sz w:val="24"/>
              </w:rPr>
            </w:pPr>
            <w:r>
              <w:rPr>
                <w:rFonts w:ascii="Times New Roman"/>
                <w:sz w:val="24"/>
              </w:rPr>
              <w:t>/C10</w:t>
            </w:r>
          </w:p>
        </w:tc>
        <w:tc>
          <w:tcPr>
            <w:tcW w:w="1383" w:type="dxa"/>
            <w:vMerge w:val="restart"/>
            <w:tcBorders>
              <w:top w:val="nil"/>
              <w:bottom w:val="nil"/>
            </w:tcBorders>
          </w:tcPr>
          <w:p>
            <w:pPr>
              <w:pStyle w:val="TableParagraph"/>
              <w:spacing w:before="39"/>
              <w:ind w:left="188" w:right="178"/>
              <w:jc w:val="center"/>
              <w:rPr>
                <w:sz w:val="24"/>
              </w:rPr>
            </w:pPr>
            <w:r>
              <w:rPr>
                <w:sz w:val="24"/>
              </w:rPr>
              <w:t>面上项目</w:t>
            </w:r>
          </w:p>
          <w:p>
            <w:pPr>
              <w:pStyle w:val="TableParagraph"/>
              <w:spacing w:before="4"/>
              <w:ind w:left="185" w:right="178"/>
              <w:jc w:val="center"/>
              <w:rPr>
                <w:sz w:val="24"/>
              </w:rPr>
            </w:pPr>
            <w:r>
              <w:rPr>
                <w:rFonts w:ascii="Times New Roman" w:eastAsia="Times New Roman"/>
                <w:sz w:val="24"/>
              </w:rPr>
              <w:t>37 </w:t>
            </w:r>
            <w:r>
              <w:rPr>
                <w:sz w:val="24"/>
              </w:rPr>
              <w:t>项</w:t>
            </w:r>
          </w:p>
        </w:tc>
      </w:tr>
      <w:tr>
        <w:trPr>
          <w:trHeight w:val="992" w:hRule="atLeast"/>
        </w:trPr>
        <w:tc>
          <w:tcPr>
            <w:tcW w:w="1426" w:type="dxa"/>
            <w:vMerge/>
            <w:tcBorders>
              <w:top w:val="nil"/>
              <w:bottom w:val="nil"/>
            </w:tcBorders>
          </w:tcPr>
          <w:p>
            <w:pPr>
              <w:rPr>
                <w:sz w:val="2"/>
                <w:szCs w:val="2"/>
              </w:rPr>
            </w:pPr>
          </w:p>
        </w:tc>
        <w:tc>
          <w:tcPr>
            <w:tcW w:w="3480" w:type="dxa"/>
            <w:tcBorders>
              <w:bottom w:val="nil"/>
            </w:tcBorders>
          </w:tcPr>
          <w:p>
            <w:pPr>
              <w:pStyle w:val="TableParagraph"/>
              <w:spacing w:line="310" w:lineRule="atLeast" w:before="56"/>
              <w:ind w:left="107" w:right="96"/>
              <w:jc w:val="both"/>
              <w:rPr>
                <w:sz w:val="24"/>
              </w:rPr>
            </w:pPr>
            <w:r>
              <w:rPr>
                <w:rFonts w:ascii="Times New Roman" w:eastAsia="Times New Roman"/>
                <w:sz w:val="24"/>
              </w:rPr>
              <w:t>4.</w:t>
            </w:r>
            <w:r>
              <w:rPr>
                <w:sz w:val="24"/>
              </w:rPr>
              <w:t>基于调控炎症微环境促进组织修复并具有免疫调节功能的水凝胶体系构建及作用机制研</w:t>
            </w:r>
          </w:p>
        </w:tc>
        <w:tc>
          <w:tcPr>
            <w:tcW w:w="1199" w:type="dxa"/>
            <w:tcBorders>
              <w:bottom w:val="nil"/>
            </w:tcBorders>
          </w:tcPr>
          <w:p>
            <w:pPr>
              <w:pStyle w:val="TableParagraph"/>
              <w:rPr>
                <w:b/>
                <w:sz w:val="26"/>
              </w:rPr>
            </w:pPr>
          </w:p>
          <w:p>
            <w:pPr>
              <w:pStyle w:val="TableParagraph"/>
              <w:spacing w:before="210"/>
              <w:ind w:left="98" w:right="86"/>
              <w:jc w:val="center"/>
              <w:rPr>
                <w:rFonts w:ascii="Times New Roman"/>
                <w:sz w:val="24"/>
              </w:rPr>
            </w:pPr>
            <w:r>
              <w:rPr>
                <w:rFonts w:ascii="Times New Roman"/>
                <w:sz w:val="24"/>
              </w:rPr>
              <w:t>ZWA104</w:t>
            </w:r>
          </w:p>
        </w:tc>
        <w:tc>
          <w:tcPr>
            <w:tcW w:w="1248" w:type="dxa"/>
            <w:tcBorders>
              <w:bottom w:val="nil"/>
            </w:tcBorders>
          </w:tcPr>
          <w:p>
            <w:pPr>
              <w:pStyle w:val="TableParagraph"/>
              <w:rPr>
                <w:b/>
                <w:sz w:val="26"/>
              </w:rPr>
            </w:pPr>
          </w:p>
          <w:p>
            <w:pPr>
              <w:pStyle w:val="TableParagraph"/>
              <w:spacing w:before="210"/>
              <w:ind w:left="118" w:right="110"/>
              <w:jc w:val="center"/>
              <w:rPr>
                <w:rFonts w:ascii="Times New Roman"/>
                <w:sz w:val="24"/>
              </w:rPr>
            </w:pPr>
            <w:r>
              <w:rPr>
                <w:rFonts w:ascii="Times New Roman"/>
                <w:sz w:val="24"/>
              </w:rPr>
              <w:t>H18/C10</w:t>
            </w:r>
          </w:p>
        </w:tc>
        <w:tc>
          <w:tcPr>
            <w:tcW w:w="1383" w:type="dxa"/>
            <w:vMerge/>
            <w:tcBorders>
              <w:top w:val="nil"/>
              <w:bottom w:val="nil"/>
            </w:tcBorders>
          </w:tcPr>
          <w:p>
            <w:pPr>
              <w:rPr>
                <w:sz w:val="2"/>
                <w:szCs w:val="2"/>
              </w:rPr>
            </w:pPr>
          </w:p>
        </w:tc>
      </w:tr>
      <w:tr>
        <w:trPr>
          <w:trHeight w:val="369" w:hRule="atLeast"/>
        </w:trPr>
        <w:tc>
          <w:tcPr>
            <w:tcW w:w="1426" w:type="dxa"/>
            <w:tcBorders>
              <w:top w:val="nil"/>
              <w:bottom w:val="nil"/>
            </w:tcBorders>
          </w:tcPr>
          <w:p>
            <w:pPr>
              <w:pStyle w:val="TableParagraph"/>
              <w:rPr>
                <w:rFonts w:ascii="Times New Roman"/>
                <w:sz w:val="24"/>
              </w:rPr>
            </w:pPr>
          </w:p>
        </w:tc>
        <w:tc>
          <w:tcPr>
            <w:tcW w:w="3480" w:type="dxa"/>
            <w:tcBorders>
              <w:top w:val="nil"/>
            </w:tcBorders>
          </w:tcPr>
          <w:p>
            <w:pPr>
              <w:pStyle w:val="TableParagraph"/>
              <w:spacing w:before="2"/>
              <w:ind w:left="107"/>
              <w:rPr>
                <w:sz w:val="24"/>
              </w:rPr>
            </w:pPr>
            <w:r>
              <w:rPr>
                <w:sz w:val="24"/>
              </w:rPr>
              <w:t>究</w:t>
            </w:r>
          </w:p>
        </w:tc>
        <w:tc>
          <w:tcPr>
            <w:tcW w:w="1199" w:type="dxa"/>
            <w:tcBorders>
              <w:top w:val="nil"/>
            </w:tcBorders>
          </w:tcPr>
          <w:p>
            <w:pPr>
              <w:pStyle w:val="TableParagraph"/>
              <w:rPr>
                <w:rFonts w:ascii="Times New Roman"/>
                <w:sz w:val="24"/>
              </w:rPr>
            </w:pPr>
          </w:p>
        </w:tc>
        <w:tc>
          <w:tcPr>
            <w:tcW w:w="1248" w:type="dxa"/>
            <w:tcBorders>
              <w:top w:val="nil"/>
            </w:tcBorders>
          </w:tcPr>
          <w:p>
            <w:pPr>
              <w:pStyle w:val="TableParagraph"/>
              <w:rPr>
                <w:rFonts w:ascii="Times New Roman"/>
                <w:sz w:val="24"/>
              </w:rPr>
            </w:pPr>
          </w:p>
        </w:tc>
        <w:tc>
          <w:tcPr>
            <w:tcW w:w="1383" w:type="dxa"/>
            <w:tcBorders>
              <w:top w:val="nil"/>
              <w:bottom w:val="nil"/>
            </w:tcBorders>
          </w:tcPr>
          <w:p>
            <w:pPr>
              <w:pStyle w:val="TableParagraph"/>
              <w:rPr>
                <w:rFonts w:ascii="Times New Roman"/>
                <w:sz w:val="24"/>
              </w:rPr>
            </w:pPr>
          </w:p>
        </w:tc>
      </w:tr>
      <w:tr>
        <w:trPr>
          <w:trHeight w:val="738" w:hRule="atLeast"/>
        </w:trPr>
        <w:tc>
          <w:tcPr>
            <w:tcW w:w="1426" w:type="dxa"/>
            <w:tcBorders>
              <w:top w:val="nil"/>
              <w:bottom w:val="nil"/>
            </w:tcBorders>
          </w:tcPr>
          <w:p>
            <w:pPr>
              <w:pStyle w:val="TableParagraph"/>
              <w:rPr>
                <w:rFonts w:ascii="Times New Roman"/>
                <w:sz w:val="24"/>
              </w:rPr>
            </w:pPr>
          </w:p>
        </w:tc>
        <w:tc>
          <w:tcPr>
            <w:tcW w:w="3480" w:type="dxa"/>
          </w:tcPr>
          <w:p>
            <w:pPr>
              <w:pStyle w:val="TableParagraph"/>
              <w:spacing w:line="242" w:lineRule="auto" w:before="60"/>
              <w:ind w:left="107" w:right="39"/>
              <w:rPr>
                <w:sz w:val="24"/>
              </w:rPr>
            </w:pPr>
            <w:r>
              <w:rPr>
                <w:rFonts w:ascii="Times New Roman" w:eastAsia="Times New Roman"/>
                <w:sz w:val="24"/>
              </w:rPr>
              <w:t>5.</w:t>
            </w:r>
            <w:r>
              <w:rPr>
                <w:sz w:val="24"/>
              </w:rPr>
              <w:t>骨科、心血管手术植入物的表面改性或载药涂层修饰研究</w:t>
            </w:r>
          </w:p>
        </w:tc>
        <w:tc>
          <w:tcPr>
            <w:tcW w:w="1199" w:type="dxa"/>
          </w:tcPr>
          <w:p>
            <w:pPr>
              <w:pStyle w:val="TableParagraph"/>
              <w:spacing w:before="232"/>
              <w:ind w:left="98" w:right="86"/>
              <w:jc w:val="center"/>
              <w:rPr>
                <w:rFonts w:ascii="Times New Roman"/>
                <w:sz w:val="24"/>
              </w:rPr>
            </w:pPr>
            <w:r>
              <w:rPr>
                <w:rFonts w:ascii="Times New Roman"/>
                <w:sz w:val="24"/>
              </w:rPr>
              <w:t>ZWA105</w:t>
            </w:r>
          </w:p>
        </w:tc>
        <w:tc>
          <w:tcPr>
            <w:tcW w:w="1248" w:type="dxa"/>
          </w:tcPr>
          <w:p>
            <w:pPr>
              <w:pStyle w:val="TableParagraph"/>
              <w:spacing w:before="232"/>
              <w:ind w:left="118" w:right="110"/>
              <w:jc w:val="center"/>
              <w:rPr>
                <w:rFonts w:ascii="Times New Roman"/>
                <w:sz w:val="24"/>
              </w:rPr>
            </w:pPr>
            <w:r>
              <w:rPr>
                <w:rFonts w:ascii="Times New Roman"/>
                <w:sz w:val="24"/>
              </w:rPr>
              <w:t>H18/C10</w:t>
            </w:r>
          </w:p>
        </w:tc>
        <w:tc>
          <w:tcPr>
            <w:tcW w:w="1383" w:type="dxa"/>
            <w:tcBorders>
              <w:top w:val="nil"/>
            </w:tcBorders>
          </w:tcPr>
          <w:p>
            <w:pPr>
              <w:pStyle w:val="TableParagraph"/>
              <w:rPr>
                <w:rFonts w:ascii="Times New Roman"/>
                <w:sz w:val="24"/>
              </w:rPr>
            </w:pPr>
          </w:p>
        </w:tc>
      </w:tr>
      <w:tr>
        <w:trPr>
          <w:trHeight w:val="737" w:hRule="atLeast"/>
        </w:trPr>
        <w:tc>
          <w:tcPr>
            <w:tcW w:w="1426" w:type="dxa"/>
            <w:tcBorders>
              <w:top w:val="nil"/>
            </w:tcBorders>
          </w:tcPr>
          <w:p>
            <w:pPr>
              <w:pStyle w:val="TableParagraph"/>
              <w:rPr>
                <w:rFonts w:ascii="Times New Roman"/>
                <w:sz w:val="24"/>
              </w:rPr>
            </w:pPr>
          </w:p>
        </w:tc>
        <w:tc>
          <w:tcPr>
            <w:tcW w:w="3480" w:type="dxa"/>
          </w:tcPr>
          <w:p>
            <w:pPr>
              <w:pStyle w:val="TableParagraph"/>
              <w:spacing w:line="242" w:lineRule="auto" w:before="61"/>
              <w:ind w:left="107" w:right="87"/>
              <w:rPr>
                <w:b/>
                <w:sz w:val="24"/>
              </w:rPr>
            </w:pPr>
            <w:r>
              <w:rPr>
                <w:rFonts w:ascii="Times New Roman" w:eastAsia="Times New Roman"/>
                <w:b/>
                <w:sz w:val="24"/>
              </w:rPr>
              <w:t>6.</w:t>
            </w:r>
            <w:r>
              <w:rPr>
                <w:b/>
                <w:sz w:val="24"/>
              </w:rPr>
              <w:t>聚电解质水凝胶体系治疗关节疾病的机制研究</w:t>
            </w:r>
          </w:p>
        </w:tc>
        <w:tc>
          <w:tcPr>
            <w:tcW w:w="1199" w:type="dxa"/>
          </w:tcPr>
          <w:p>
            <w:pPr>
              <w:pStyle w:val="TableParagraph"/>
              <w:spacing w:before="230"/>
              <w:ind w:left="93" w:right="86"/>
              <w:jc w:val="center"/>
              <w:rPr>
                <w:rFonts w:ascii="Times New Roman"/>
                <w:b/>
                <w:sz w:val="24"/>
              </w:rPr>
            </w:pPr>
            <w:r>
              <w:rPr>
                <w:rFonts w:ascii="Times New Roman"/>
                <w:b/>
                <w:sz w:val="24"/>
              </w:rPr>
              <w:t>ZWB106</w:t>
            </w:r>
          </w:p>
        </w:tc>
        <w:tc>
          <w:tcPr>
            <w:tcW w:w="1248" w:type="dxa"/>
          </w:tcPr>
          <w:p>
            <w:pPr>
              <w:pStyle w:val="TableParagraph"/>
              <w:spacing w:before="230"/>
              <w:ind w:left="120" w:right="110"/>
              <w:jc w:val="center"/>
              <w:rPr>
                <w:rFonts w:ascii="Times New Roman"/>
                <w:b/>
                <w:sz w:val="24"/>
              </w:rPr>
            </w:pPr>
            <w:r>
              <w:rPr>
                <w:rFonts w:ascii="Times New Roman"/>
                <w:b/>
                <w:sz w:val="24"/>
              </w:rPr>
              <w:t>H1820</w:t>
            </w:r>
          </w:p>
        </w:tc>
        <w:tc>
          <w:tcPr>
            <w:tcW w:w="1383" w:type="dxa"/>
          </w:tcPr>
          <w:p>
            <w:pPr>
              <w:pStyle w:val="TableParagraph"/>
              <w:spacing w:before="61"/>
              <w:ind w:left="190" w:right="178"/>
              <w:jc w:val="center"/>
              <w:rPr>
                <w:b/>
                <w:sz w:val="24"/>
              </w:rPr>
            </w:pPr>
            <w:r>
              <w:rPr>
                <w:b/>
                <w:sz w:val="24"/>
              </w:rPr>
              <w:t>重点项目</w:t>
            </w:r>
          </w:p>
          <w:p>
            <w:pPr>
              <w:pStyle w:val="TableParagraph"/>
              <w:spacing w:before="4"/>
              <w:ind w:left="185" w:right="178"/>
              <w:jc w:val="center"/>
              <w:rPr>
                <w:b/>
                <w:sz w:val="24"/>
              </w:rPr>
            </w:pPr>
            <w:r>
              <w:rPr>
                <w:rFonts w:ascii="Times New Roman" w:eastAsia="Times New Roman"/>
                <w:b/>
                <w:sz w:val="24"/>
              </w:rPr>
              <w:t>1 </w:t>
            </w:r>
            <w:r>
              <w:rPr>
                <w:b/>
                <w:sz w:val="24"/>
              </w:rPr>
              <w:t>项</w:t>
            </w:r>
          </w:p>
        </w:tc>
      </w:tr>
      <w:tr>
        <w:trPr>
          <w:trHeight w:val="1002" w:hRule="atLeast"/>
        </w:trPr>
        <w:tc>
          <w:tcPr>
            <w:tcW w:w="1426" w:type="dxa"/>
            <w:tcBorders>
              <w:bottom w:val="nil"/>
            </w:tcBorders>
          </w:tcPr>
          <w:p>
            <w:pPr>
              <w:pStyle w:val="TableParagraph"/>
              <w:rPr>
                <w:rFonts w:ascii="Times New Roman"/>
                <w:sz w:val="24"/>
              </w:rPr>
            </w:pPr>
          </w:p>
        </w:tc>
        <w:tc>
          <w:tcPr>
            <w:tcW w:w="3480" w:type="dxa"/>
            <w:tcBorders>
              <w:bottom w:val="nil"/>
            </w:tcBorders>
          </w:tcPr>
          <w:p>
            <w:pPr>
              <w:pStyle w:val="TableParagraph"/>
              <w:spacing w:line="310" w:lineRule="atLeast" w:before="56"/>
              <w:ind w:left="107" w:right="96"/>
              <w:jc w:val="both"/>
              <w:rPr>
                <w:sz w:val="24"/>
              </w:rPr>
            </w:pPr>
            <w:r>
              <w:rPr>
                <w:rFonts w:ascii="Times New Roman" w:eastAsia="Times New Roman"/>
                <w:spacing w:val="8"/>
                <w:sz w:val="24"/>
              </w:rPr>
              <w:t>1.</w:t>
            </w:r>
            <w:r>
              <w:rPr>
                <w:spacing w:val="14"/>
                <w:sz w:val="24"/>
              </w:rPr>
              <w:t>利用组学技术筛选泌尿、消</w:t>
            </w:r>
            <w:r>
              <w:rPr>
                <w:spacing w:val="-11"/>
                <w:sz w:val="24"/>
              </w:rPr>
              <w:t>化、循环、生殖系统常见疾病的</w:t>
            </w:r>
            <w:r>
              <w:rPr>
                <w:spacing w:val="9"/>
                <w:sz w:val="24"/>
              </w:rPr>
              <w:t>新型诊断标志物及其作用机制</w:t>
            </w:r>
          </w:p>
        </w:tc>
        <w:tc>
          <w:tcPr>
            <w:tcW w:w="1199" w:type="dxa"/>
            <w:tcBorders>
              <w:bottom w:val="nil"/>
            </w:tcBorders>
          </w:tcPr>
          <w:p>
            <w:pPr>
              <w:pStyle w:val="TableParagraph"/>
              <w:rPr>
                <w:b/>
                <w:sz w:val="26"/>
              </w:rPr>
            </w:pPr>
          </w:p>
          <w:p>
            <w:pPr>
              <w:pStyle w:val="TableParagraph"/>
              <w:spacing w:before="210"/>
              <w:ind w:left="98" w:right="86"/>
              <w:jc w:val="center"/>
              <w:rPr>
                <w:rFonts w:ascii="Times New Roman"/>
                <w:sz w:val="24"/>
              </w:rPr>
            </w:pPr>
            <w:r>
              <w:rPr>
                <w:rFonts w:ascii="Times New Roman"/>
                <w:sz w:val="24"/>
              </w:rPr>
              <w:t>ZWA201</w:t>
            </w:r>
          </w:p>
        </w:tc>
        <w:tc>
          <w:tcPr>
            <w:tcW w:w="1248" w:type="dxa"/>
            <w:tcBorders>
              <w:bottom w:val="nil"/>
            </w:tcBorders>
          </w:tcPr>
          <w:p>
            <w:pPr>
              <w:pStyle w:val="TableParagraph"/>
              <w:spacing w:before="2"/>
              <w:rPr>
                <w:b/>
                <w:sz w:val="30"/>
              </w:rPr>
            </w:pPr>
          </w:p>
          <w:p>
            <w:pPr>
              <w:pStyle w:val="TableParagraph"/>
              <w:ind w:left="177"/>
              <w:rPr>
                <w:rFonts w:ascii="Times New Roman"/>
                <w:sz w:val="24"/>
              </w:rPr>
            </w:pPr>
            <w:r>
              <w:rPr>
                <w:rFonts w:ascii="Times New Roman"/>
                <w:sz w:val="24"/>
              </w:rPr>
              <w:t>H02/H03</w:t>
            </w:r>
          </w:p>
          <w:p>
            <w:pPr>
              <w:pStyle w:val="TableParagraph"/>
              <w:spacing w:before="36"/>
              <w:ind w:left="144"/>
              <w:rPr>
                <w:rFonts w:ascii="Times New Roman"/>
                <w:sz w:val="24"/>
              </w:rPr>
            </w:pPr>
            <w:r>
              <w:rPr>
                <w:rFonts w:ascii="Times New Roman"/>
                <w:sz w:val="24"/>
              </w:rPr>
              <w:t>/H04/H05</w:t>
            </w:r>
          </w:p>
        </w:tc>
        <w:tc>
          <w:tcPr>
            <w:tcW w:w="1383" w:type="dxa"/>
            <w:tcBorders>
              <w:bottom w:val="nil"/>
            </w:tcBorders>
          </w:tcPr>
          <w:p>
            <w:pPr>
              <w:pStyle w:val="TableParagraph"/>
              <w:rPr>
                <w:rFonts w:ascii="Times New Roman"/>
                <w:sz w:val="24"/>
              </w:rPr>
            </w:pPr>
          </w:p>
        </w:tc>
      </w:tr>
      <w:tr>
        <w:trPr>
          <w:trHeight w:val="287" w:hRule="atLeast"/>
        </w:trPr>
        <w:tc>
          <w:tcPr>
            <w:tcW w:w="1426" w:type="dxa"/>
            <w:tcBorders>
              <w:top w:val="nil"/>
              <w:bottom w:val="nil"/>
            </w:tcBorders>
          </w:tcPr>
          <w:p>
            <w:pPr>
              <w:pStyle w:val="TableParagraph"/>
              <w:rPr>
                <w:rFonts w:ascii="Times New Roman"/>
                <w:sz w:val="20"/>
              </w:rPr>
            </w:pPr>
          </w:p>
        </w:tc>
        <w:tc>
          <w:tcPr>
            <w:tcW w:w="3480" w:type="dxa"/>
            <w:tcBorders>
              <w:top w:val="nil"/>
              <w:bottom w:val="nil"/>
            </w:tcBorders>
          </w:tcPr>
          <w:p>
            <w:pPr>
              <w:pStyle w:val="TableParagraph"/>
              <w:spacing w:line="267" w:lineRule="exact"/>
              <w:ind w:left="107"/>
              <w:rPr>
                <w:sz w:val="24"/>
              </w:rPr>
            </w:pPr>
            <w:r>
              <w:rPr>
                <w:sz w:val="24"/>
              </w:rPr>
              <w:t>研究</w:t>
            </w:r>
          </w:p>
        </w:tc>
        <w:tc>
          <w:tcPr>
            <w:tcW w:w="1199" w:type="dxa"/>
            <w:tcBorders>
              <w:top w:val="nil"/>
              <w:bottom w:val="nil"/>
            </w:tcBorders>
          </w:tcPr>
          <w:p>
            <w:pPr>
              <w:pStyle w:val="TableParagraph"/>
              <w:rPr>
                <w:rFonts w:ascii="Times New Roman"/>
                <w:sz w:val="20"/>
              </w:rPr>
            </w:pPr>
          </w:p>
        </w:tc>
        <w:tc>
          <w:tcPr>
            <w:tcW w:w="1248" w:type="dxa"/>
            <w:tcBorders>
              <w:top w:val="nil"/>
              <w:bottom w:val="nil"/>
            </w:tcBorders>
          </w:tcPr>
          <w:p>
            <w:pPr>
              <w:pStyle w:val="TableParagraph"/>
              <w:rPr>
                <w:rFonts w:ascii="Times New Roman"/>
                <w:sz w:val="20"/>
              </w:rPr>
            </w:pPr>
          </w:p>
        </w:tc>
        <w:tc>
          <w:tcPr>
            <w:tcW w:w="1383" w:type="dxa"/>
            <w:tcBorders>
              <w:top w:val="nil"/>
              <w:bottom w:val="nil"/>
            </w:tcBorders>
          </w:tcPr>
          <w:p>
            <w:pPr>
              <w:pStyle w:val="TableParagraph"/>
              <w:rPr>
                <w:rFonts w:ascii="Times New Roman"/>
                <w:sz w:val="20"/>
              </w:rPr>
            </w:pPr>
          </w:p>
        </w:tc>
      </w:tr>
      <w:tr>
        <w:trPr>
          <w:trHeight w:val="72" w:hRule="atLeast"/>
        </w:trPr>
        <w:tc>
          <w:tcPr>
            <w:tcW w:w="1426" w:type="dxa"/>
            <w:vMerge w:val="restart"/>
            <w:tcBorders>
              <w:top w:val="nil"/>
              <w:bottom w:val="nil"/>
            </w:tcBorders>
          </w:tcPr>
          <w:p>
            <w:pPr>
              <w:pStyle w:val="TableParagraph"/>
              <w:spacing w:line="242" w:lineRule="auto"/>
              <w:ind w:left="112" w:right="96"/>
              <w:jc w:val="both"/>
              <w:rPr>
                <w:b/>
                <w:sz w:val="24"/>
              </w:rPr>
            </w:pPr>
            <w:r>
              <w:rPr>
                <w:b/>
                <w:sz w:val="24"/>
              </w:rPr>
              <w:t>专题二：临床重点疾病的筛查诊断</w:t>
            </w:r>
          </w:p>
        </w:tc>
        <w:tc>
          <w:tcPr>
            <w:tcW w:w="3480" w:type="dxa"/>
            <w:tcBorders>
              <w:top w:val="nil"/>
            </w:tcBorders>
          </w:tcPr>
          <w:p>
            <w:pPr>
              <w:pStyle w:val="TableParagraph"/>
              <w:rPr>
                <w:rFonts w:ascii="Times New Roman"/>
                <w:sz w:val="2"/>
              </w:rPr>
            </w:pPr>
          </w:p>
        </w:tc>
        <w:tc>
          <w:tcPr>
            <w:tcW w:w="1199" w:type="dxa"/>
            <w:tcBorders>
              <w:top w:val="nil"/>
            </w:tcBorders>
          </w:tcPr>
          <w:p>
            <w:pPr>
              <w:pStyle w:val="TableParagraph"/>
              <w:rPr>
                <w:rFonts w:ascii="Times New Roman"/>
                <w:sz w:val="2"/>
              </w:rPr>
            </w:pPr>
          </w:p>
        </w:tc>
        <w:tc>
          <w:tcPr>
            <w:tcW w:w="1248" w:type="dxa"/>
            <w:tcBorders>
              <w:top w:val="nil"/>
            </w:tcBorders>
          </w:tcPr>
          <w:p>
            <w:pPr>
              <w:pStyle w:val="TableParagraph"/>
              <w:rPr>
                <w:rFonts w:ascii="Times New Roman"/>
                <w:sz w:val="2"/>
              </w:rPr>
            </w:pPr>
          </w:p>
        </w:tc>
        <w:tc>
          <w:tcPr>
            <w:tcW w:w="1383" w:type="dxa"/>
            <w:vMerge w:val="restart"/>
            <w:tcBorders>
              <w:top w:val="nil"/>
              <w:bottom w:val="nil"/>
            </w:tcBorders>
          </w:tcPr>
          <w:p>
            <w:pPr>
              <w:pStyle w:val="TableParagraph"/>
              <w:spacing w:before="142"/>
              <w:ind w:left="188" w:right="178"/>
              <w:jc w:val="center"/>
              <w:rPr>
                <w:sz w:val="24"/>
              </w:rPr>
            </w:pPr>
            <w:r>
              <w:rPr>
                <w:sz w:val="24"/>
              </w:rPr>
              <w:t>面上项目</w:t>
            </w:r>
          </w:p>
          <w:p>
            <w:pPr>
              <w:pStyle w:val="TableParagraph"/>
              <w:spacing w:before="5"/>
              <w:ind w:left="185" w:right="178"/>
              <w:jc w:val="center"/>
              <w:rPr>
                <w:sz w:val="24"/>
              </w:rPr>
            </w:pPr>
            <w:r>
              <w:rPr>
                <w:rFonts w:ascii="Times New Roman" w:eastAsia="Times New Roman"/>
                <w:sz w:val="24"/>
              </w:rPr>
              <w:t>42 </w:t>
            </w:r>
            <w:r>
              <w:rPr>
                <w:sz w:val="24"/>
              </w:rPr>
              <w:t>项</w:t>
            </w:r>
          </w:p>
        </w:tc>
      </w:tr>
      <w:tr>
        <w:trPr>
          <w:trHeight w:val="1050" w:hRule="atLeast"/>
        </w:trPr>
        <w:tc>
          <w:tcPr>
            <w:tcW w:w="1426" w:type="dxa"/>
            <w:vMerge/>
            <w:tcBorders>
              <w:top w:val="nil"/>
              <w:bottom w:val="nil"/>
            </w:tcBorders>
          </w:tcPr>
          <w:p>
            <w:pPr>
              <w:rPr>
                <w:sz w:val="2"/>
                <w:szCs w:val="2"/>
              </w:rPr>
            </w:pPr>
          </w:p>
        </w:tc>
        <w:tc>
          <w:tcPr>
            <w:tcW w:w="3480" w:type="dxa"/>
          </w:tcPr>
          <w:p>
            <w:pPr>
              <w:pStyle w:val="TableParagraph"/>
              <w:spacing w:line="242" w:lineRule="auto" w:before="60"/>
              <w:ind w:left="107" w:right="96"/>
              <w:jc w:val="both"/>
              <w:rPr>
                <w:sz w:val="24"/>
              </w:rPr>
            </w:pPr>
            <w:r>
              <w:rPr>
                <w:rFonts w:ascii="Times New Roman" w:eastAsia="Times New Roman"/>
                <w:sz w:val="24"/>
              </w:rPr>
              <w:t>2.</w:t>
            </w:r>
            <w:r>
              <w:rPr>
                <w:spacing w:val="-7"/>
                <w:sz w:val="24"/>
              </w:rPr>
              <w:t>女性不孕、复发性妊娠失败等</w:t>
            </w:r>
            <w:r>
              <w:rPr>
                <w:spacing w:val="9"/>
                <w:sz w:val="24"/>
              </w:rPr>
              <w:t>女性生育相关疾病的关键预警</w:t>
            </w:r>
            <w:r>
              <w:rPr>
                <w:sz w:val="24"/>
              </w:rPr>
              <w:t>标志物筛选及机制研究</w:t>
            </w:r>
          </w:p>
        </w:tc>
        <w:tc>
          <w:tcPr>
            <w:tcW w:w="1199" w:type="dxa"/>
          </w:tcPr>
          <w:p>
            <w:pPr>
              <w:pStyle w:val="TableParagraph"/>
              <w:spacing w:before="3"/>
              <w:rPr>
                <w:b/>
                <w:sz w:val="30"/>
              </w:rPr>
            </w:pPr>
          </w:p>
          <w:p>
            <w:pPr>
              <w:pStyle w:val="TableParagraph"/>
              <w:ind w:left="98" w:right="86"/>
              <w:jc w:val="center"/>
              <w:rPr>
                <w:rFonts w:ascii="Times New Roman"/>
                <w:sz w:val="24"/>
              </w:rPr>
            </w:pPr>
            <w:r>
              <w:rPr>
                <w:rFonts w:ascii="Times New Roman"/>
                <w:sz w:val="24"/>
              </w:rPr>
              <w:t>ZWA202</w:t>
            </w:r>
          </w:p>
        </w:tc>
        <w:tc>
          <w:tcPr>
            <w:tcW w:w="1248" w:type="dxa"/>
          </w:tcPr>
          <w:p>
            <w:pPr>
              <w:pStyle w:val="TableParagraph"/>
              <w:spacing w:before="3"/>
              <w:rPr>
                <w:b/>
                <w:sz w:val="30"/>
              </w:rPr>
            </w:pPr>
          </w:p>
          <w:p>
            <w:pPr>
              <w:pStyle w:val="TableParagraph"/>
              <w:ind w:left="115" w:right="110"/>
              <w:jc w:val="center"/>
              <w:rPr>
                <w:rFonts w:ascii="Times New Roman"/>
                <w:sz w:val="24"/>
              </w:rPr>
            </w:pPr>
            <w:r>
              <w:rPr>
                <w:rFonts w:ascii="Times New Roman"/>
                <w:sz w:val="24"/>
              </w:rPr>
              <w:t>H04</w:t>
            </w:r>
          </w:p>
        </w:tc>
        <w:tc>
          <w:tcPr>
            <w:tcW w:w="1383" w:type="dxa"/>
            <w:vMerge/>
            <w:tcBorders>
              <w:top w:val="nil"/>
              <w:bottom w:val="nil"/>
            </w:tcBorders>
          </w:tcPr>
          <w:p>
            <w:pPr>
              <w:rPr>
                <w:sz w:val="2"/>
                <w:szCs w:val="2"/>
              </w:rPr>
            </w:pPr>
          </w:p>
        </w:tc>
      </w:tr>
      <w:tr>
        <w:trPr>
          <w:trHeight w:val="690" w:hRule="atLeast"/>
        </w:trPr>
        <w:tc>
          <w:tcPr>
            <w:tcW w:w="1426" w:type="dxa"/>
            <w:tcBorders>
              <w:top w:val="nil"/>
              <w:bottom w:val="nil"/>
            </w:tcBorders>
          </w:tcPr>
          <w:p>
            <w:pPr>
              <w:pStyle w:val="TableParagraph"/>
              <w:rPr>
                <w:rFonts w:ascii="Times New Roman"/>
                <w:sz w:val="24"/>
              </w:rPr>
            </w:pPr>
          </w:p>
        </w:tc>
        <w:tc>
          <w:tcPr>
            <w:tcW w:w="3480" w:type="dxa"/>
            <w:tcBorders>
              <w:bottom w:val="nil"/>
            </w:tcBorders>
          </w:tcPr>
          <w:p>
            <w:pPr>
              <w:pStyle w:val="TableParagraph"/>
              <w:spacing w:line="310" w:lineRule="atLeast" w:before="58"/>
              <w:ind w:left="107" w:right="39"/>
              <w:rPr>
                <w:sz w:val="24"/>
              </w:rPr>
            </w:pPr>
            <w:r>
              <w:rPr>
                <w:rFonts w:ascii="Times New Roman" w:eastAsia="Times New Roman"/>
                <w:sz w:val="24"/>
              </w:rPr>
              <w:t>3.</w:t>
            </w:r>
            <w:r>
              <w:rPr>
                <w:sz w:val="24"/>
              </w:rPr>
              <w:t>基于电化学技术的肿瘤、心血管疾病等常见重大疾病标志物</w:t>
            </w:r>
          </w:p>
        </w:tc>
        <w:tc>
          <w:tcPr>
            <w:tcW w:w="1199" w:type="dxa"/>
            <w:tcBorders>
              <w:bottom w:val="nil"/>
            </w:tcBorders>
          </w:tcPr>
          <w:p>
            <w:pPr>
              <w:pStyle w:val="TableParagraph"/>
              <w:spacing w:before="1"/>
              <w:rPr>
                <w:b/>
                <w:sz w:val="30"/>
              </w:rPr>
            </w:pPr>
          </w:p>
          <w:p>
            <w:pPr>
              <w:pStyle w:val="TableParagraph"/>
              <w:spacing w:before="1"/>
              <w:ind w:left="98" w:right="86"/>
              <w:jc w:val="center"/>
              <w:rPr>
                <w:rFonts w:ascii="Times New Roman"/>
                <w:sz w:val="24"/>
              </w:rPr>
            </w:pPr>
            <w:r>
              <w:rPr>
                <w:rFonts w:ascii="Times New Roman"/>
                <w:sz w:val="24"/>
              </w:rPr>
              <w:t>ZWA203</w:t>
            </w:r>
          </w:p>
        </w:tc>
        <w:tc>
          <w:tcPr>
            <w:tcW w:w="1248" w:type="dxa"/>
            <w:tcBorders>
              <w:bottom w:val="nil"/>
            </w:tcBorders>
          </w:tcPr>
          <w:p>
            <w:pPr>
              <w:pStyle w:val="TableParagraph"/>
              <w:spacing w:before="1"/>
              <w:rPr>
                <w:b/>
                <w:sz w:val="30"/>
              </w:rPr>
            </w:pPr>
          </w:p>
          <w:p>
            <w:pPr>
              <w:pStyle w:val="TableParagraph"/>
              <w:spacing w:before="1"/>
              <w:ind w:left="115" w:right="110"/>
              <w:jc w:val="center"/>
              <w:rPr>
                <w:rFonts w:ascii="Times New Roman"/>
                <w:sz w:val="24"/>
              </w:rPr>
            </w:pPr>
            <w:r>
              <w:rPr>
                <w:rFonts w:ascii="Times New Roman"/>
                <w:sz w:val="24"/>
              </w:rPr>
              <w:t>H20</w:t>
            </w:r>
          </w:p>
        </w:tc>
        <w:tc>
          <w:tcPr>
            <w:tcW w:w="1383" w:type="dxa"/>
            <w:tcBorders>
              <w:top w:val="nil"/>
              <w:bottom w:val="nil"/>
            </w:tcBorders>
          </w:tcPr>
          <w:p>
            <w:pPr>
              <w:pStyle w:val="TableParagraph"/>
              <w:rPr>
                <w:rFonts w:ascii="Times New Roman"/>
                <w:sz w:val="24"/>
              </w:rPr>
            </w:pPr>
          </w:p>
        </w:tc>
      </w:tr>
      <w:tr>
        <w:trPr>
          <w:trHeight w:val="357" w:hRule="atLeast"/>
        </w:trPr>
        <w:tc>
          <w:tcPr>
            <w:tcW w:w="1426" w:type="dxa"/>
            <w:tcBorders>
              <w:top w:val="nil"/>
            </w:tcBorders>
          </w:tcPr>
          <w:p>
            <w:pPr>
              <w:pStyle w:val="TableParagraph"/>
              <w:rPr>
                <w:rFonts w:ascii="Times New Roman"/>
                <w:sz w:val="24"/>
              </w:rPr>
            </w:pPr>
          </w:p>
        </w:tc>
        <w:tc>
          <w:tcPr>
            <w:tcW w:w="3480" w:type="dxa"/>
            <w:tcBorders>
              <w:top w:val="nil"/>
            </w:tcBorders>
          </w:tcPr>
          <w:p>
            <w:pPr>
              <w:pStyle w:val="TableParagraph"/>
              <w:spacing w:line="302" w:lineRule="exact"/>
              <w:ind w:left="107"/>
              <w:rPr>
                <w:sz w:val="24"/>
              </w:rPr>
            </w:pPr>
            <w:r>
              <w:rPr>
                <w:sz w:val="24"/>
              </w:rPr>
              <w:t>快速高敏检测方法研究</w:t>
            </w:r>
          </w:p>
        </w:tc>
        <w:tc>
          <w:tcPr>
            <w:tcW w:w="1199" w:type="dxa"/>
            <w:tcBorders>
              <w:top w:val="nil"/>
            </w:tcBorders>
          </w:tcPr>
          <w:p>
            <w:pPr>
              <w:pStyle w:val="TableParagraph"/>
              <w:rPr>
                <w:rFonts w:ascii="Times New Roman"/>
                <w:sz w:val="24"/>
              </w:rPr>
            </w:pPr>
          </w:p>
        </w:tc>
        <w:tc>
          <w:tcPr>
            <w:tcW w:w="1248" w:type="dxa"/>
            <w:tcBorders>
              <w:top w:val="nil"/>
            </w:tcBorders>
          </w:tcPr>
          <w:p>
            <w:pPr>
              <w:pStyle w:val="TableParagraph"/>
              <w:rPr>
                <w:rFonts w:ascii="Times New Roman"/>
                <w:sz w:val="24"/>
              </w:rPr>
            </w:pPr>
          </w:p>
        </w:tc>
        <w:tc>
          <w:tcPr>
            <w:tcW w:w="1383" w:type="dxa"/>
            <w:tcBorders>
              <w:top w:val="nil"/>
            </w:tcBorders>
          </w:tcPr>
          <w:p>
            <w:pPr>
              <w:pStyle w:val="TableParagraph"/>
              <w:rPr>
                <w:rFonts w:ascii="Times New Roman"/>
                <w:sz w:val="24"/>
              </w:rPr>
            </w:pPr>
          </w:p>
        </w:tc>
      </w:tr>
    </w:tbl>
    <w:p>
      <w:pPr>
        <w:spacing w:after="0"/>
        <w:rPr>
          <w:rFonts w:ascii="Times New Roman"/>
          <w:sz w:val="24"/>
        </w:rPr>
        <w:sectPr>
          <w:pgSz w:w="11910" w:h="16840"/>
          <w:pgMar w:header="0" w:footer="966" w:top="1500" w:bottom="1160" w:left="1580" w:right="1360"/>
        </w:sectPr>
      </w:pP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6"/>
        <w:gridCol w:w="3480"/>
        <w:gridCol w:w="1199"/>
        <w:gridCol w:w="1248"/>
        <w:gridCol w:w="1383"/>
      </w:tblGrid>
      <w:tr>
        <w:trPr>
          <w:trHeight w:val="737" w:hRule="atLeast"/>
        </w:trPr>
        <w:tc>
          <w:tcPr>
            <w:tcW w:w="1426" w:type="dxa"/>
          </w:tcPr>
          <w:p>
            <w:pPr>
              <w:pStyle w:val="TableParagraph"/>
              <w:spacing w:before="11"/>
              <w:rPr>
                <w:b/>
                <w:sz w:val="16"/>
              </w:rPr>
            </w:pPr>
          </w:p>
          <w:p>
            <w:pPr>
              <w:pStyle w:val="TableParagraph"/>
              <w:ind w:left="472"/>
              <w:rPr>
                <w:b/>
                <w:sz w:val="24"/>
              </w:rPr>
            </w:pPr>
            <w:r>
              <w:rPr>
                <w:b/>
                <w:sz w:val="24"/>
              </w:rPr>
              <w:t>专题</w:t>
            </w:r>
          </w:p>
        </w:tc>
        <w:tc>
          <w:tcPr>
            <w:tcW w:w="3480" w:type="dxa"/>
          </w:tcPr>
          <w:p>
            <w:pPr>
              <w:pStyle w:val="TableParagraph"/>
              <w:spacing w:before="11"/>
              <w:rPr>
                <w:b/>
                <w:sz w:val="16"/>
              </w:rPr>
            </w:pPr>
          </w:p>
          <w:p>
            <w:pPr>
              <w:pStyle w:val="TableParagraph"/>
              <w:ind w:left="1238" w:right="1227"/>
              <w:jc w:val="center"/>
              <w:rPr>
                <w:b/>
                <w:sz w:val="24"/>
              </w:rPr>
            </w:pPr>
            <w:r>
              <w:rPr>
                <w:b/>
                <w:sz w:val="24"/>
              </w:rPr>
              <w:t>研究方向</w:t>
            </w:r>
          </w:p>
        </w:tc>
        <w:tc>
          <w:tcPr>
            <w:tcW w:w="1199" w:type="dxa"/>
          </w:tcPr>
          <w:p>
            <w:pPr>
              <w:pStyle w:val="TableParagraph"/>
              <w:spacing w:before="11"/>
              <w:rPr>
                <w:b/>
                <w:sz w:val="16"/>
              </w:rPr>
            </w:pPr>
          </w:p>
          <w:p>
            <w:pPr>
              <w:pStyle w:val="TableParagraph"/>
              <w:ind w:right="105"/>
              <w:jc w:val="right"/>
              <w:rPr>
                <w:b/>
                <w:sz w:val="24"/>
              </w:rPr>
            </w:pPr>
            <w:r>
              <w:rPr>
                <w:b/>
                <w:w w:val="95"/>
                <w:sz w:val="24"/>
              </w:rPr>
              <w:t>申报代码</w:t>
            </w:r>
          </w:p>
        </w:tc>
        <w:tc>
          <w:tcPr>
            <w:tcW w:w="1248" w:type="dxa"/>
          </w:tcPr>
          <w:p>
            <w:pPr>
              <w:pStyle w:val="TableParagraph"/>
              <w:spacing w:before="11"/>
              <w:rPr>
                <w:b/>
                <w:sz w:val="16"/>
              </w:rPr>
            </w:pPr>
          </w:p>
          <w:p>
            <w:pPr>
              <w:pStyle w:val="TableParagraph"/>
              <w:ind w:left="123" w:right="110"/>
              <w:jc w:val="center"/>
              <w:rPr>
                <w:b/>
                <w:sz w:val="24"/>
              </w:rPr>
            </w:pPr>
            <w:r>
              <w:rPr>
                <w:b/>
                <w:sz w:val="24"/>
              </w:rPr>
              <w:t>学科代码</w:t>
            </w:r>
          </w:p>
        </w:tc>
        <w:tc>
          <w:tcPr>
            <w:tcW w:w="1383" w:type="dxa"/>
          </w:tcPr>
          <w:p>
            <w:pPr>
              <w:pStyle w:val="TableParagraph"/>
              <w:spacing w:line="242" w:lineRule="auto" w:before="61"/>
              <w:ind w:left="331" w:right="317"/>
              <w:rPr>
                <w:b/>
                <w:sz w:val="24"/>
              </w:rPr>
            </w:pPr>
            <w:r>
              <w:rPr>
                <w:b/>
                <w:sz w:val="24"/>
              </w:rPr>
              <w:t>拟支持项目数</w:t>
            </w:r>
          </w:p>
        </w:tc>
      </w:tr>
      <w:tr>
        <w:trPr>
          <w:trHeight w:val="1050" w:hRule="atLeast"/>
        </w:trPr>
        <w:tc>
          <w:tcPr>
            <w:tcW w:w="1426" w:type="dxa"/>
          </w:tcPr>
          <w:p>
            <w:pPr>
              <w:pStyle w:val="TableParagraph"/>
              <w:rPr>
                <w:rFonts w:ascii="Times New Roman"/>
                <w:sz w:val="30"/>
              </w:rPr>
            </w:pPr>
          </w:p>
        </w:tc>
        <w:tc>
          <w:tcPr>
            <w:tcW w:w="3480" w:type="dxa"/>
          </w:tcPr>
          <w:p>
            <w:pPr>
              <w:pStyle w:val="TableParagraph"/>
              <w:spacing w:line="242" w:lineRule="auto" w:before="59"/>
              <w:ind w:left="107" w:right="84"/>
              <w:jc w:val="both"/>
              <w:rPr>
                <w:b/>
                <w:sz w:val="24"/>
              </w:rPr>
            </w:pPr>
            <w:r>
              <w:rPr>
                <w:rFonts w:ascii="Times New Roman" w:eastAsia="Times New Roman"/>
                <w:b/>
                <w:w w:val="95"/>
                <w:sz w:val="24"/>
              </w:rPr>
              <w:t>4.</w:t>
            </w:r>
            <w:r>
              <w:rPr>
                <w:b/>
                <w:w w:val="95"/>
                <w:sz w:val="24"/>
              </w:rPr>
              <w:t>基于电化学技术构建血液肿</w:t>
            </w:r>
            <w:r>
              <w:rPr>
                <w:b/>
                <w:sz w:val="24"/>
              </w:rPr>
              <w:t>瘤复发标志物高敏精准筛查策略研究</w:t>
            </w:r>
          </w:p>
        </w:tc>
        <w:tc>
          <w:tcPr>
            <w:tcW w:w="1199" w:type="dxa"/>
          </w:tcPr>
          <w:p>
            <w:pPr>
              <w:pStyle w:val="TableParagraph"/>
              <w:spacing w:before="2"/>
              <w:rPr>
                <w:b/>
                <w:sz w:val="30"/>
              </w:rPr>
            </w:pPr>
          </w:p>
          <w:p>
            <w:pPr>
              <w:pStyle w:val="TableParagraph"/>
              <w:ind w:right="129"/>
              <w:jc w:val="right"/>
              <w:rPr>
                <w:rFonts w:ascii="Times New Roman"/>
                <w:b/>
                <w:sz w:val="24"/>
              </w:rPr>
            </w:pPr>
            <w:r>
              <w:rPr>
                <w:rFonts w:ascii="Times New Roman"/>
                <w:b/>
                <w:sz w:val="24"/>
              </w:rPr>
              <w:t>ZWB204</w:t>
            </w:r>
          </w:p>
        </w:tc>
        <w:tc>
          <w:tcPr>
            <w:tcW w:w="1248" w:type="dxa"/>
          </w:tcPr>
          <w:p>
            <w:pPr>
              <w:pStyle w:val="TableParagraph"/>
              <w:spacing w:before="2"/>
              <w:rPr>
                <w:b/>
                <w:sz w:val="30"/>
              </w:rPr>
            </w:pPr>
          </w:p>
          <w:p>
            <w:pPr>
              <w:pStyle w:val="TableParagraph"/>
              <w:ind w:left="120" w:right="110"/>
              <w:jc w:val="center"/>
              <w:rPr>
                <w:rFonts w:ascii="Times New Roman"/>
                <w:b/>
                <w:sz w:val="24"/>
              </w:rPr>
            </w:pPr>
            <w:r>
              <w:rPr>
                <w:rFonts w:ascii="Times New Roman"/>
                <w:b/>
                <w:sz w:val="24"/>
              </w:rPr>
              <w:t>H2005</w:t>
            </w:r>
          </w:p>
        </w:tc>
        <w:tc>
          <w:tcPr>
            <w:tcW w:w="1383" w:type="dxa"/>
          </w:tcPr>
          <w:p>
            <w:pPr>
              <w:pStyle w:val="TableParagraph"/>
              <w:spacing w:before="215"/>
              <w:ind w:left="190" w:right="178"/>
              <w:jc w:val="center"/>
              <w:rPr>
                <w:b/>
                <w:sz w:val="24"/>
              </w:rPr>
            </w:pPr>
            <w:r>
              <w:rPr>
                <w:b/>
                <w:sz w:val="24"/>
              </w:rPr>
              <w:t>重点项目</w:t>
            </w:r>
          </w:p>
          <w:p>
            <w:pPr>
              <w:pStyle w:val="TableParagraph"/>
              <w:spacing w:before="4"/>
              <w:ind w:left="185" w:right="178"/>
              <w:jc w:val="center"/>
              <w:rPr>
                <w:b/>
                <w:sz w:val="24"/>
              </w:rPr>
            </w:pPr>
            <w:r>
              <w:rPr>
                <w:rFonts w:ascii="Times New Roman" w:eastAsia="Times New Roman"/>
                <w:b/>
                <w:sz w:val="24"/>
              </w:rPr>
              <w:t>1 </w:t>
            </w:r>
            <w:r>
              <w:rPr>
                <w:b/>
                <w:sz w:val="24"/>
              </w:rPr>
              <w:t>项</w:t>
            </w:r>
          </w:p>
        </w:tc>
      </w:tr>
    </w:tbl>
    <w:p>
      <w:pPr>
        <w:pStyle w:val="BodyText"/>
        <w:spacing w:before="10"/>
        <w:ind w:left="0"/>
        <w:rPr>
          <w:b/>
          <w:sz w:val="5"/>
        </w:rPr>
      </w:pPr>
    </w:p>
    <w:p>
      <w:pPr>
        <w:pStyle w:val="Heading1"/>
        <w:spacing w:line="538" w:lineRule="exact"/>
        <w:ind w:left="863"/>
      </w:pPr>
      <w:bookmarkStart w:name="专题一：生物材料与临床医学结合" w:id="5"/>
      <w:bookmarkEnd w:id="5"/>
      <w:r>
        <w:rPr>
          <w:b w:val="0"/>
        </w:rPr>
      </w:r>
      <w:r>
        <w:rPr/>
        <w:t>专题一：生物材料与临床医学结合</w:t>
      </w:r>
    </w:p>
    <w:p>
      <w:pPr>
        <w:pStyle w:val="BodyText"/>
        <w:spacing w:line="364" w:lineRule="auto" w:before="57"/>
        <w:ind w:right="440" w:firstLine="640"/>
      </w:pPr>
      <w:r>
        <w:rPr>
          <w:spacing w:val="-9"/>
        </w:rPr>
        <w:t>本专题设置研究方向 </w:t>
      </w:r>
      <w:r>
        <w:rPr>
          <w:rFonts w:ascii="Times New Roman" w:eastAsia="Times New Roman"/>
        </w:rPr>
        <w:t>6 </w:t>
      </w:r>
      <w:r>
        <w:rPr>
          <w:spacing w:val="-15"/>
        </w:rPr>
        <w:t>个，其中研究方向 </w:t>
      </w:r>
      <w:r>
        <w:rPr>
          <w:rFonts w:ascii="Times New Roman" w:eastAsia="Times New Roman"/>
        </w:rPr>
        <w:t>1~5 </w:t>
      </w:r>
      <w:r>
        <w:rPr/>
        <w:t>拟支持面</w:t>
      </w:r>
      <w:r>
        <w:rPr>
          <w:spacing w:val="-17"/>
        </w:rPr>
        <w:t>上项目 </w:t>
      </w:r>
      <w:r>
        <w:rPr>
          <w:rFonts w:ascii="Times New Roman" w:eastAsia="Times New Roman"/>
        </w:rPr>
        <w:t>37 </w:t>
      </w:r>
      <w:r>
        <w:rPr>
          <w:spacing w:val="-2"/>
        </w:rPr>
        <w:t>项，每个方向原则上不少于 </w:t>
      </w:r>
      <w:r>
        <w:rPr>
          <w:rFonts w:ascii="Times New Roman" w:eastAsia="Times New Roman"/>
        </w:rPr>
        <w:t>4 </w:t>
      </w:r>
      <w:r>
        <w:rPr>
          <w:spacing w:val="-7"/>
        </w:rPr>
        <w:t>项；研究方向 </w:t>
      </w:r>
      <w:r>
        <w:rPr>
          <w:rFonts w:ascii="Times New Roman" w:eastAsia="Times New Roman"/>
        </w:rPr>
        <w:t>6 </w:t>
      </w:r>
      <w:r>
        <w:rPr/>
        <w:t>拟</w:t>
      </w:r>
    </w:p>
    <w:p>
      <w:pPr>
        <w:pStyle w:val="BodyText"/>
        <w:spacing w:before="1"/>
      </w:pPr>
      <w:r>
        <w:rPr>
          <w:spacing w:val="-12"/>
        </w:rPr>
        <w:t>支持重点项目 </w:t>
      </w:r>
      <w:r>
        <w:rPr>
          <w:rFonts w:ascii="Times New Roman" w:eastAsia="Times New Roman"/>
        </w:rPr>
        <w:t>1</w:t>
      </w:r>
      <w:r>
        <w:rPr>
          <w:rFonts w:ascii="Times New Roman" w:eastAsia="Times New Roman"/>
          <w:spacing w:val="-2"/>
        </w:rPr>
        <w:t> </w:t>
      </w:r>
      <w:r>
        <w:rPr/>
        <w:t>项。</w:t>
      </w:r>
    </w:p>
    <w:p>
      <w:pPr>
        <w:pStyle w:val="Heading1"/>
        <w:spacing w:before="109"/>
      </w:pPr>
      <w:bookmarkStart w:name="（一）面上项目" w:id="6"/>
      <w:bookmarkEnd w:id="6"/>
      <w:r>
        <w:rPr>
          <w:b w:val="0"/>
        </w:rPr>
      </w:r>
      <w:r>
        <w:rPr/>
        <w:t>（一）面上项目</w:t>
      </w:r>
    </w:p>
    <w:p>
      <w:pPr>
        <w:pStyle w:val="ListParagraph"/>
        <w:numPr>
          <w:ilvl w:val="0"/>
          <w:numId w:val="1"/>
        </w:numPr>
        <w:tabs>
          <w:tab w:pos="1288" w:val="left" w:leader="none"/>
        </w:tabs>
        <w:spacing w:line="364" w:lineRule="auto" w:before="141" w:after="0"/>
        <w:ind w:left="220" w:right="278" w:firstLine="640"/>
        <w:jc w:val="left"/>
        <w:rPr>
          <w:rFonts w:ascii="Times New Roman" w:eastAsia="Times New Roman"/>
          <w:sz w:val="32"/>
        </w:rPr>
      </w:pPr>
      <w:bookmarkStart w:name="1. 水凝胶或纳米囊泡药物载体系统的构建及其在再生修复、疾病靶向治疗的应用基础研" w:id="7"/>
      <w:bookmarkEnd w:id="7"/>
      <w:r>
        <w:rPr/>
      </w:r>
      <w:bookmarkStart w:name="1. 水凝胶或纳米囊泡药物载体系统的构建及其在再生修复、疾病靶向治疗的应用基础研" w:id="8"/>
      <w:bookmarkEnd w:id="8"/>
      <w:r>
        <w:rPr>
          <w:spacing w:val="8"/>
          <w:sz w:val="32"/>
        </w:rPr>
        <w:t>水凝胶或纳米囊泡药物载体系统的构建及其在再生</w:t>
      </w:r>
      <w:r>
        <w:rPr>
          <w:spacing w:val="-5"/>
          <w:sz w:val="32"/>
        </w:rPr>
        <w:t>修复、疾病靶向治疗的应用基础研究</w:t>
      </w:r>
      <w:r>
        <w:rPr>
          <w:sz w:val="32"/>
        </w:rPr>
        <w:t>（</w:t>
      </w:r>
      <w:r>
        <w:rPr>
          <w:spacing w:val="-2"/>
          <w:sz w:val="32"/>
        </w:rPr>
        <w:t>申报代码：</w:t>
      </w:r>
      <w:r>
        <w:rPr>
          <w:rFonts w:ascii="Times New Roman" w:eastAsia="Times New Roman"/>
          <w:spacing w:val="-7"/>
          <w:sz w:val="32"/>
        </w:rPr>
        <w:t>ZWA101</w:t>
      </w:r>
      <w:r>
        <w:rPr>
          <w:spacing w:val="-7"/>
          <w:sz w:val="32"/>
        </w:rPr>
        <w:t>， </w:t>
      </w:r>
      <w:r>
        <w:rPr>
          <w:sz w:val="32"/>
        </w:rPr>
        <w:t>学科代码：</w:t>
      </w:r>
      <w:r>
        <w:rPr>
          <w:rFonts w:ascii="Times New Roman" w:eastAsia="Times New Roman"/>
          <w:sz w:val="32"/>
        </w:rPr>
        <w:t>H18/C10</w:t>
      </w:r>
      <w:r>
        <w:rPr>
          <w:sz w:val="32"/>
        </w:rPr>
        <w:t>）</w:t>
      </w:r>
    </w:p>
    <w:p>
      <w:pPr>
        <w:pStyle w:val="ListParagraph"/>
        <w:numPr>
          <w:ilvl w:val="0"/>
          <w:numId w:val="1"/>
        </w:numPr>
        <w:tabs>
          <w:tab w:pos="1288" w:val="left" w:leader="none"/>
        </w:tabs>
        <w:spacing w:line="364" w:lineRule="auto" w:before="2" w:after="0"/>
        <w:ind w:left="220" w:right="425" w:firstLine="640"/>
        <w:jc w:val="left"/>
        <w:rPr>
          <w:rFonts w:ascii="Times New Roman" w:eastAsia="Times New Roman"/>
          <w:sz w:val="32"/>
        </w:rPr>
      </w:pPr>
      <w:bookmarkStart w:name="2. 类人体组织工程支架或三维多细胞体系的构建及其在盆底、肌腱组织损伤修复中的应" w:id="9"/>
      <w:bookmarkEnd w:id="9"/>
      <w:r>
        <w:rPr/>
      </w:r>
      <w:bookmarkStart w:name="2. 类人体组织工程支架或三维多细胞体系的构建及其在盆底、肌腱组织损伤修复中的应" w:id="10"/>
      <w:bookmarkEnd w:id="10"/>
      <w:r>
        <w:rPr>
          <w:spacing w:val="8"/>
          <w:sz w:val="32"/>
        </w:rPr>
        <w:t>类人体组织工程支架或三维多细胞体系的构建及其</w:t>
      </w:r>
      <w:r>
        <w:rPr>
          <w:spacing w:val="8"/>
          <w:sz w:val="32"/>
        </w:rPr>
        <w:t>在盆底、肌腱组织损伤修复中的应用基础研究（申报代码：</w:t>
      </w:r>
    </w:p>
    <w:p>
      <w:pPr>
        <w:pStyle w:val="BodyText"/>
        <w:spacing w:before="2"/>
      </w:pPr>
      <w:r>
        <w:rPr>
          <w:rFonts w:ascii="Times New Roman" w:eastAsia="Times New Roman"/>
        </w:rPr>
        <w:t>ZWA102</w:t>
      </w:r>
      <w:r>
        <w:rPr/>
        <w:t>，学科代码：</w:t>
      </w:r>
      <w:r>
        <w:rPr>
          <w:rFonts w:ascii="Times New Roman" w:eastAsia="Times New Roman"/>
        </w:rPr>
        <w:t>H18/C10</w:t>
      </w:r>
      <w:r>
        <w:rPr/>
        <w:t>）</w:t>
      </w:r>
    </w:p>
    <w:p>
      <w:pPr>
        <w:pStyle w:val="ListParagraph"/>
        <w:numPr>
          <w:ilvl w:val="0"/>
          <w:numId w:val="1"/>
        </w:numPr>
        <w:tabs>
          <w:tab w:pos="1260" w:val="left" w:leader="none"/>
        </w:tabs>
        <w:spacing w:line="364" w:lineRule="auto" w:before="214" w:after="0"/>
        <w:ind w:left="220" w:right="344" w:firstLine="640"/>
        <w:jc w:val="left"/>
        <w:rPr>
          <w:rFonts w:ascii="Times New Roman" w:eastAsia="Times New Roman"/>
          <w:sz w:val="32"/>
        </w:rPr>
      </w:pPr>
      <w:bookmarkStart w:name="3. 新型生物材料在骨、软骨损伤及其伴随的神经损伤、软组织损伤再生修复中的应用基" w:id="11"/>
      <w:bookmarkEnd w:id="11"/>
      <w:r>
        <w:rPr/>
      </w:r>
      <w:bookmarkStart w:name="3. 新型生物材料在骨、软骨损伤及其伴随的神经损伤、软组织损伤再生修复中的应用基" w:id="12"/>
      <w:bookmarkEnd w:id="12"/>
      <w:r>
        <w:rPr>
          <w:sz w:val="32"/>
        </w:rPr>
        <w:t>新型生物材料在骨、软骨损伤及其伴随的神经损伤、</w:t>
      </w:r>
      <w:r>
        <w:rPr>
          <w:spacing w:val="-2"/>
          <w:sz w:val="32"/>
        </w:rPr>
        <w:t>软组织损伤再生修复中的应用基础研究</w:t>
      </w:r>
      <w:r>
        <w:rPr>
          <w:sz w:val="32"/>
        </w:rPr>
        <w:t>（</w:t>
      </w:r>
      <w:r>
        <w:rPr>
          <w:spacing w:val="-3"/>
          <w:sz w:val="32"/>
        </w:rPr>
        <w:t>申报代码：</w:t>
      </w:r>
      <w:r>
        <w:rPr>
          <w:rFonts w:ascii="Times New Roman" w:eastAsia="Times New Roman"/>
          <w:spacing w:val="-12"/>
          <w:sz w:val="32"/>
        </w:rPr>
        <w:t>ZWA10</w:t>
      </w:r>
    </w:p>
    <w:p>
      <w:pPr>
        <w:pStyle w:val="BodyText"/>
        <w:spacing w:before="2"/>
      </w:pPr>
      <w:r>
        <w:rPr>
          <w:rFonts w:ascii="Times New Roman" w:eastAsia="Times New Roman"/>
        </w:rPr>
        <w:t>3</w:t>
      </w:r>
      <w:r>
        <w:rPr/>
        <w:t>，学科代码：</w:t>
      </w:r>
      <w:r>
        <w:rPr>
          <w:rFonts w:ascii="Times New Roman" w:eastAsia="Times New Roman"/>
        </w:rPr>
        <w:t>H06/H18/C10</w:t>
      </w:r>
      <w:r>
        <w:rPr/>
        <w:t>）</w:t>
      </w:r>
    </w:p>
    <w:p>
      <w:pPr>
        <w:pStyle w:val="ListParagraph"/>
        <w:numPr>
          <w:ilvl w:val="0"/>
          <w:numId w:val="1"/>
        </w:numPr>
        <w:tabs>
          <w:tab w:pos="1288" w:val="left" w:leader="none"/>
        </w:tabs>
        <w:spacing w:line="364" w:lineRule="auto" w:before="214" w:after="0"/>
        <w:ind w:left="220" w:right="436" w:firstLine="640"/>
        <w:jc w:val="left"/>
        <w:rPr>
          <w:rFonts w:ascii="Times New Roman" w:eastAsia="Times New Roman"/>
          <w:sz w:val="32"/>
        </w:rPr>
      </w:pPr>
      <w:bookmarkStart w:name="4. 基于调控炎症微环境促进组织修复并具有免疫调节功能的水凝胶体系构建及作用机制" w:id="13"/>
      <w:bookmarkEnd w:id="13"/>
      <w:r>
        <w:rPr/>
      </w:r>
      <w:bookmarkStart w:name="4. 基于调控炎症微环境促进组织修复并具有免疫调节功能的水凝胶体系构建及作用机制" w:id="14"/>
      <w:bookmarkEnd w:id="14"/>
      <w:r>
        <w:rPr>
          <w:spacing w:val="8"/>
          <w:w w:val="95"/>
          <w:sz w:val="32"/>
        </w:rPr>
        <w:t>基于调控炎症微环境促进组织修复并具有免疫调节</w:t>
      </w:r>
      <w:r>
        <w:rPr>
          <w:spacing w:val="8"/>
          <w:w w:val="95"/>
          <w:sz w:val="32"/>
        </w:rPr>
        <w:t> </w:t>
      </w:r>
      <w:r>
        <w:rPr>
          <w:spacing w:val="5"/>
          <w:sz w:val="32"/>
        </w:rPr>
        <w:t>功能的水凝胶体系构建及作用机制研究</w:t>
      </w:r>
      <w:r>
        <w:rPr>
          <w:sz w:val="32"/>
        </w:rPr>
        <w:t>（</w:t>
      </w:r>
      <w:r>
        <w:rPr>
          <w:spacing w:val="-3"/>
          <w:sz w:val="32"/>
        </w:rPr>
        <w:t>申报代码：</w:t>
      </w:r>
      <w:r>
        <w:rPr>
          <w:rFonts w:ascii="Times New Roman" w:eastAsia="Times New Roman"/>
          <w:spacing w:val="-12"/>
          <w:sz w:val="32"/>
        </w:rPr>
        <w:t>ZWA10</w:t>
      </w:r>
    </w:p>
    <w:p>
      <w:pPr>
        <w:pStyle w:val="BodyText"/>
        <w:spacing w:before="1"/>
      </w:pPr>
      <w:r>
        <w:rPr>
          <w:rFonts w:ascii="Times New Roman" w:eastAsia="Times New Roman"/>
        </w:rPr>
        <w:t>4</w:t>
      </w:r>
      <w:r>
        <w:rPr/>
        <w:t>，学科代码：</w:t>
      </w:r>
      <w:r>
        <w:rPr>
          <w:rFonts w:ascii="Times New Roman" w:eastAsia="Times New Roman"/>
        </w:rPr>
        <w:t>H18/C10</w:t>
      </w:r>
      <w:r>
        <w:rPr/>
        <w:t>）</w:t>
      </w:r>
    </w:p>
    <w:p>
      <w:pPr>
        <w:pStyle w:val="ListParagraph"/>
        <w:numPr>
          <w:ilvl w:val="0"/>
          <w:numId w:val="1"/>
        </w:numPr>
        <w:tabs>
          <w:tab w:pos="1260" w:val="left" w:leader="none"/>
        </w:tabs>
        <w:spacing w:line="364" w:lineRule="auto" w:before="214" w:after="0"/>
        <w:ind w:left="220" w:right="440" w:firstLine="640"/>
        <w:jc w:val="left"/>
        <w:rPr>
          <w:rFonts w:ascii="Times New Roman" w:eastAsia="Times New Roman"/>
          <w:sz w:val="32"/>
        </w:rPr>
      </w:pPr>
      <w:bookmarkStart w:name="5. 骨科、心血管手术植入物的表面改性或载药涂层修饰研究（申报代码：ZWA105" w:id="15"/>
      <w:bookmarkEnd w:id="15"/>
      <w:r>
        <w:rPr/>
      </w:r>
      <w:bookmarkStart w:name="5. 骨科、心血管手术植入物的表面改性或载药涂层修饰研究（申报代码：ZWA105" w:id="16"/>
      <w:bookmarkEnd w:id="16"/>
      <w:r>
        <w:rPr>
          <w:spacing w:val="-11"/>
          <w:sz w:val="32"/>
        </w:rPr>
        <w:t>骨科、心血管手术植入物的表面改性或载药涂层修饰</w:t>
      </w:r>
      <w:r>
        <w:rPr>
          <w:spacing w:val="-11"/>
          <w:sz w:val="32"/>
        </w:rPr>
        <w:t>研究（</w:t>
      </w:r>
      <w:r>
        <w:rPr>
          <w:spacing w:val="-10"/>
          <w:sz w:val="32"/>
        </w:rPr>
        <w:t>申报代码：</w:t>
      </w:r>
      <w:r>
        <w:rPr>
          <w:rFonts w:ascii="Times New Roman" w:eastAsia="Times New Roman"/>
          <w:spacing w:val="-5"/>
          <w:sz w:val="32"/>
        </w:rPr>
        <w:t>ZWA105</w:t>
      </w:r>
      <w:r>
        <w:rPr>
          <w:spacing w:val="-2"/>
          <w:sz w:val="32"/>
        </w:rPr>
        <w:t>，学科代码：</w:t>
      </w:r>
      <w:r>
        <w:rPr>
          <w:rFonts w:ascii="Times New Roman" w:eastAsia="Times New Roman"/>
          <w:sz w:val="32"/>
        </w:rPr>
        <w:t>H18/C10</w:t>
      </w:r>
      <w:r>
        <w:rPr>
          <w:sz w:val="32"/>
        </w:rPr>
        <w:t>）</w:t>
      </w:r>
    </w:p>
    <w:p>
      <w:pPr>
        <w:spacing w:after="0" w:line="364" w:lineRule="auto"/>
        <w:jc w:val="left"/>
        <w:rPr>
          <w:rFonts w:ascii="Times New Roman" w:eastAsia="Times New Roman"/>
          <w:sz w:val="32"/>
        </w:rPr>
        <w:sectPr>
          <w:pgSz w:w="11910" w:h="16840"/>
          <w:pgMar w:header="0" w:footer="966" w:top="1420" w:bottom="1160" w:left="1580" w:right="1360"/>
        </w:sectPr>
      </w:pPr>
    </w:p>
    <w:p>
      <w:pPr>
        <w:pStyle w:val="Heading1"/>
        <w:spacing w:line="513" w:lineRule="exact"/>
      </w:pPr>
      <w:bookmarkStart w:name="（二）重点项目" w:id="17"/>
      <w:bookmarkEnd w:id="17"/>
      <w:r>
        <w:rPr>
          <w:b w:val="0"/>
        </w:rPr>
      </w:r>
      <w:r>
        <w:rPr/>
        <w:t>（二）重点项目</w:t>
      </w:r>
    </w:p>
    <w:p>
      <w:pPr>
        <w:pStyle w:val="ListParagraph"/>
        <w:numPr>
          <w:ilvl w:val="0"/>
          <w:numId w:val="1"/>
        </w:numPr>
        <w:tabs>
          <w:tab w:pos="1260" w:val="left" w:leader="none"/>
        </w:tabs>
        <w:spacing w:line="254" w:lineRule="auto" w:before="35" w:after="0"/>
        <w:ind w:left="220" w:right="440" w:firstLine="640"/>
        <w:jc w:val="left"/>
        <w:rPr>
          <w:rFonts w:ascii="Times New Roman" w:eastAsia="Times New Roman"/>
          <w:b/>
          <w:sz w:val="32"/>
        </w:rPr>
      </w:pPr>
      <w:bookmarkStart w:name="6. 聚电解质水凝胶体系治疗关节疾病的机制研究（申报代码：ZWB106，学科代码" w:id="18"/>
      <w:bookmarkEnd w:id="18"/>
      <w:r>
        <w:rPr/>
      </w:r>
      <w:bookmarkStart w:name="6. 聚电解质水凝胶体系治疗关节疾病的机制研究（申报代码：ZWB106，学科代码" w:id="19"/>
      <w:bookmarkEnd w:id="19"/>
      <w:r>
        <w:rPr>
          <w:rFonts w:ascii="Microsoft JhengHei" w:eastAsia="Microsoft JhengHei" w:hint="eastAsia"/>
          <w:b/>
          <w:spacing w:val="-6"/>
          <w:sz w:val="32"/>
        </w:rPr>
        <w:t>聚电解质水凝胶体系治疗关节疾病的机制研究</w:t>
      </w:r>
      <w:r>
        <w:rPr>
          <w:rFonts w:ascii="Microsoft JhengHei" w:eastAsia="Microsoft JhengHei" w:hint="eastAsia"/>
          <w:b/>
          <w:sz w:val="32"/>
        </w:rPr>
        <w:t>（申报代码：</w:t>
      </w:r>
      <w:r>
        <w:rPr>
          <w:rFonts w:ascii="Times New Roman" w:eastAsia="Times New Roman"/>
          <w:b/>
          <w:sz w:val="32"/>
        </w:rPr>
        <w:t>ZWB106</w:t>
      </w:r>
      <w:r>
        <w:rPr>
          <w:rFonts w:ascii="Microsoft JhengHei" w:eastAsia="Microsoft JhengHei" w:hint="eastAsia"/>
          <w:b/>
          <w:sz w:val="32"/>
        </w:rPr>
        <w:t>，学科代码：</w:t>
      </w:r>
      <w:r>
        <w:rPr>
          <w:rFonts w:ascii="Times New Roman" w:eastAsia="Times New Roman"/>
          <w:b/>
          <w:sz w:val="32"/>
        </w:rPr>
        <w:t>H1820</w:t>
      </w:r>
      <w:r>
        <w:rPr>
          <w:rFonts w:ascii="Microsoft JhengHei" w:eastAsia="Microsoft JhengHei" w:hint="eastAsia"/>
          <w:b/>
          <w:sz w:val="32"/>
        </w:rPr>
        <w:t>）</w:t>
      </w:r>
    </w:p>
    <w:p>
      <w:pPr>
        <w:pStyle w:val="BodyText"/>
        <w:spacing w:line="364" w:lineRule="auto" w:before="106"/>
        <w:ind w:right="279" w:firstLine="640"/>
      </w:pPr>
      <w:r>
        <w:rPr>
          <w:spacing w:val="-11"/>
          <w:w w:val="95"/>
        </w:rPr>
        <w:t>围绕类风湿性关节炎治疗需求，应用材料学、生物化学、 </w:t>
      </w:r>
      <w:r>
        <w:rPr>
          <w:spacing w:val="-9"/>
        </w:rPr>
        <w:t>分子生物学、基因组学等学科前沿理论与技术研究生物材料结合干细胞疗法的治疗策略。重点围绕透明质酸、壳聚糖等</w:t>
      </w:r>
      <w:r>
        <w:rPr>
          <w:spacing w:val="-10"/>
        </w:rPr>
        <w:t>天然多糖生物可吸收材料构建聚电解质水凝胶体系；通过酶</w:t>
      </w:r>
      <w:r>
        <w:rPr>
          <w:spacing w:val="-11"/>
        </w:rPr>
        <w:t>法等技术手段调控水凝胶性能，探讨水凝胶对干细胞生物学</w:t>
      </w:r>
      <w:r>
        <w:rPr>
          <w:spacing w:val="-12"/>
        </w:rPr>
        <w:t>特性和细胞因子分泌活性的影响；通过单细胞测序等技术探</w:t>
      </w:r>
      <w:r>
        <w:rPr>
          <w:spacing w:val="11"/>
        </w:rPr>
        <w:t>讨水凝胶结合干细胞治疗策略对类风湿性关节炎的治疗机制。</w:t>
      </w:r>
    </w:p>
    <w:p>
      <w:pPr>
        <w:pStyle w:val="BodyText"/>
        <w:spacing w:before="28"/>
        <w:ind w:left="860"/>
      </w:pPr>
      <w:r>
        <w:rPr/>
        <w:t>本方向拟支持重点项目 </w:t>
      </w:r>
      <w:r>
        <w:rPr>
          <w:rFonts w:ascii="Times New Roman" w:eastAsia="Times New Roman"/>
        </w:rPr>
        <w:t>1 </w:t>
      </w:r>
      <w:r>
        <w:rPr/>
        <w:t>项。</w:t>
      </w:r>
    </w:p>
    <w:p>
      <w:pPr>
        <w:pStyle w:val="Heading1"/>
        <w:spacing w:before="44"/>
        <w:ind w:left="863"/>
      </w:pPr>
      <w:bookmarkStart w:name="专题二：临床重点疾病的筛查诊断" w:id="20"/>
      <w:bookmarkEnd w:id="20"/>
      <w:r>
        <w:rPr>
          <w:b w:val="0"/>
        </w:rPr>
      </w:r>
      <w:r>
        <w:rPr/>
        <w:t>专题二：临床重点疾病的筛查诊断</w:t>
      </w:r>
    </w:p>
    <w:p>
      <w:pPr>
        <w:pStyle w:val="BodyText"/>
        <w:spacing w:line="364" w:lineRule="auto" w:before="57"/>
        <w:ind w:right="440" w:firstLine="640"/>
      </w:pPr>
      <w:r>
        <w:rPr>
          <w:spacing w:val="-9"/>
        </w:rPr>
        <w:t>本专题设置研究方向 </w:t>
      </w:r>
      <w:r>
        <w:rPr>
          <w:rFonts w:ascii="Times New Roman" w:eastAsia="Times New Roman"/>
        </w:rPr>
        <w:t>4 </w:t>
      </w:r>
      <w:r>
        <w:rPr>
          <w:spacing w:val="-15"/>
        </w:rPr>
        <w:t>个，其中研究方向 </w:t>
      </w:r>
      <w:r>
        <w:rPr>
          <w:rFonts w:ascii="Times New Roman" w:eastAsia="Times New Roman"/>
        </w:rPr>
        <w:t>1~3 </w:t>
      </w:r>
      <w:r>
        <w:rPr/>
        <w:t>拟支持面</w:t>
      </w:r>
      <w:r>
        <w:rPr>
          <w:spacing w:val="-17"/>
        </w:rPr>
        <w:t>上项目 </w:t>
      </w:r>
      <w:r>
        <w:rPr>
          <w:rFonts w:ascii="Times New Roman" w:eastAsia="Times New Roman"/>
        </w:rPr>
        <w:t>42 </w:t>
      </w:r>
      <w:r>
        <w:rPr>
          <w:spacing w:val="-2"/>
        </w:rPr>
        <w:t>项，每个方向原则上不少于 </w:t>
      </w:r>
      <w:r>
        <w:rPr>
          <w:rFonts w:ascii="Times New Roman" w:eastAsia="Times New Roman"/>
        </w:rPr>
        <w:t>8 </w:t>
      </w:r>
      <w:r>
        <w:rPr>
          <w:spacing w:val="-7"/>
        </w:rPr>
        <w:t>项；研究方向 </w:t>
      </w:r>
      <w:r>
        <w:rPr>
          <w:rFonts w:ascii="Times New Roman" w:eastAsia="Times New Roman"/>
        </w:rPr>
        <w:t>4 </w:t>
      </w:r>
      <w:r>
        <w:rPr/>
        <w:t>拟</w:t>
      </w:r>
    </w:p>
    <w:p>
      <w:pPr>
        <w:pStyle w:val="BodyText"/>
        <w:spacing w:before="2"/>
      </w:pPr>
      <w:r>
        <w:rPr>
          <w:spacing w:val="-12"/>
        </w:rPr>
        <w:t>支持重点项目 </w:t>
      </w:r>
      <w:r>
        <w:rPr>
          <w:rFonts w:ascii="Times New Roman" w:eastAsia="Times New Roman"/>
        </w:rPr>
        <w:t>1</w:t>
      </w:r>
      <w:r>
        <w:rPr>
          <w:rFonts w:ascii="Times New Roman" w:eastAsia="Times New Roman"/>
          <w:spacing w:val="-2"/>
        </w:rPr>
        <w:t> </w:t>
      </w:r>
      <w:r>
        <w:rPr/>
        <w:t>项。</w:t>
      </w:r>
    </w:p>
    <w:p>
      <w:pPr>
        <w:pStyle w:val="Heading1"/>
        <w:spacing w:before="108"/>
      </w:pPr>
      <w:bookmarkStart w:name="（一）面上项目" w:id="21"/>
      <w:bookmarkEnd w:id="21"/>
      <w:r>
        <w:rPr>
          <w:b w:val="0"/>
        </w:rPr>
      </w:r>
      <w:r>
        <w:rPr/>
        <w:t>（一）面上项目</w:t>
      </w:r>
    </w:p>
    <w:p>
      <w:pPr>
        <w:pStyle w:val="ListParagraph"/>
        <w:numPr>
          <w:ilvl w:val="0"/>
          <w:numId w:val="2"/>
        </w:numPr>
        <w:tabs>
          <w:tab w:pos="1260" w:val="left" w:leader="none"/>
        </w:tabs>
        <w:spacing w:line="364" w:lineRule="auto" w:before="141" w:after="0"/>
        <w:ind w:left="220" w:right="435" w:firstLine="640"/>
        <w:jc w:val="left"/>
        <w:rPr>
          <w:rFonts w:ascii="Times New Roman" w:eastAsia="Times New Roman"/>
          <w:sz w:val="32"/>
        </w:rPr>
      </w:pPr>
      <w:bookmarkStart w:name="1. 利用组学技术筛选泌尿、消化、循环、生殖系统常见疾病的新型诊断标志物及其作用" w:id="22"/>
      <w:bookmarkEnd w:id="22"/>
      <w:r>
        <w:rPr/>
      </w:r>
      <w:bookmarkStart w:name="1. 利用组学技术筛选泌尿、消化、循环、生殖系统常见疾病的新型诊断标志物及其作用" w:id="23"/>
      <w:bookmarkEnd w:id="23"/>
      <w:r>
        <w:rPr>
          <w:spacing w:val="-7"/>
          <w:sz w:val="32"/>
        </w:rPr>
        <w:t>利用组学技术筛选泌尿、消化、循环、生殖系统常见</w:t>
      </w:r>
      <w:r>
        <w:rPr>
          <w:spacing w:val="-9"/>
          <w:sz w:val="32"/>
        </w:rPr>
        <w:t>疾病的新型诊断标志物及其作用机制研究</w:t>
      </w:r>
      <w:r>
        <w:rPr>
          <w:sz w:val="32"/>
        </w:rPr>
        <w:t>（</w:t>
      </w:r>
      <w:r>
        <w:rPr>
          <w:spacing w:val="-4"/>
          <w:sz w:val="32"/>
        </w:rPr>
        <w:t>申报代码：</w:t>
      </w:r>
      <w:r>
        <w:rPr>
          <w:rFonts w:ascii="Times New Roman" w:eastAsia="Times New Roman"/>
          <w:spacing w:val="-17"/>
          <w:sz w:val="32"/>
        </w:rPr>
        <w:t>ZWA</w:t>
      </w:r>
    </w:p>
    <w:p>
      <w:pPr>
        <w:pStyle w:val="BodyText"/>
        <w:spacing w:before="2"/>
      </w:pPr>
      <w:r>
        <w:rPr>
          <w:rFonts w:ascii="Times New Roman" w:eastAsia="Times New Roman"/>
        </w:rPr>
        <w:t>201</w:t>
      </w:r>
      <w:r>
        <w:rPr/>
        <w:t>，学科代码：</w:t>
      </w:r>
      <w:r>
        <w:rPr>
          <w:rFonts w:ascii="Times New Roman" w:eastAsia="Times New Roman"/>
        </w:rPr>
        <w:t>H02/H03/H04/H05</w:t>
      </w:r>
      <w:r>
        <w:rPr/>
        <w:t>）</w:t>
      </w:r>
    </w:p>
    <w:p>
      <w:pPr>
        <w:pStyle w:val="ListParagraph"/>
        <w:numPr>
          <w:ilvl w:val="0"/>
          <w:numId w:val="2"/>
        </w:numPr>
        <w:tabs>
          <w:tab w:pos="1260" w:val="left" w:leader="none"/>
        </w:tabs>
        <w:spacing w:line="364" w:lineRule="auto" w:before="214" w:after="0"/>
        <w:ind w:left="220" w:right="437" w:firstLine="640"/>
        <w:jc w:val="left"/>
        <w:rPr>
          <w:rFonts w:ascii="Times New Roman" w:eastAsia="Times New Roman"/>
          <w:sz w:val="32"/>
        </w:rPr>
      </w:pPr>
      <w:bookmarkStart w:name="2. 女性不孕、复发性妊娠失败等女性生育相关疾病的关键预警标志物筛选及机制研究（" w:id="24"/>
      <w:bookmarkEnd w:id="24"/>
      <w:r>
        <w:rPr/>
      </w:r>
      <w:bookmarkStart w:name="2. 女性不孕、复发性妊娠失败等女性生育相关疾病的关键预警标志物筛选及机制研究（" w:id="25"/>
      <w:bookmarkEnd w:id="25"/>
      <w:r>
        <w:rPr>
          <w:spacing w:val="-10"/>
          <w:sz w:val="32"/>
        </w:rPr>
        <w:t>女性不孕、复发性妊娠失败等女性生育相关疾病的关</w:t>
      </w:r>
      <w:r>
        <w:rPr>
          <w:spacing w:val="1"/>
          <w:w w:val="95"/>
          <w:sz w:val="32"/>
        </w:rPr>
        <w:t>键预警标志物筛选及机制研究</w:t>
      </w:r>
      <w:r>
        <w:rPr>
          <w:spacing w:val="5"/>
          <w:w w:val="95"/>
          <w:sz w:val="32"/>
        </w:rPr>
        <w:t>（</w:t>
      </w:r>
      <w:r>
        <w:rPr>
          <w:spacing w:val="2"/>
          <w:w w:val="95"/>
          <w:sz w:val="32"/>
        </w:rPr>
        <w:t>申报代码：</w:t>
      </w:r>
      <w:r>
        <w:rPr>
          <w:rFonts w:ascii="Times New Roman" w:eastAsia="Times New Roman"/>
          <w:w w:val="95"/>
          <w:sz w:val="32"/>
        </w:rPr>
        <w:t>ZWA202</w:t>
      </w:r>
      <w:r>
        <w:rPr>
          <w:spacing w:val="-3"/>
          <w:w w:val="95"/>
          <w:sz w:val="32"/>
        </w:rPr>
        <w:t>，学科</w:t>
      </w:r>
    </w:p>
    <w:p>
      <w:pPr>
        <w:spacing w:after="0" w:line="364" w:lineRule="auto"/>
        <w:jc w:val="left"/>
        <w:rPr>
          <w:rFonts w:ascii="Times New Roman" w:eastAsia="Times New Roman"/>
          <w:sz w:val="32"/>
        </w:rPr>
        <w:sectPr>
          <w:pgSz w:w="11910" w:h="16840"/>
          <w:pgMar w:header="0" w:footer="966" w:top="1500" w:bottom="1160" w:left="1580" w:right="1360"/>
        </w:sectPr>
      </w:pPr>
    </w:p>
    <w:p>
      <w:pPr>
        <w:pStyle w:val="BodyText"/>
        <w:spacing w:before="50"/>
      </w:pPr>
      <w:r>
        <w:rPr/>
        <w:t>代码：</w:t>
      </w:r>
      <w:r>
        <w:rPr>
          <w:rFonts w:ascii="Times New Roman" w:eastAsia="Times New Roman"/>
        </w:rPr>
        <w:t>H04</w:t>
      </w:r>
      <w:r>
        <w:rPr/>
        <w:t>）</w:t>
      </w:r>
    </w:p>
    <w:p>
      <w:pPr>
        <w:pStyle w:val="ListParagraph"/>
        <w:numPr>
          <w:ilvl w:val="0"/>
          <w:numId w:val="2"/>
        </w:numPr>
        <w:tabs>
          <w:tab w:pos="1260" w:val="left" w:leader="none"/>
        </w:tabs>
        <w:spacing w:line="364" w:lineRule="auto" w:before="214" w:after="0"/>
        <w:ind w:left="220" w:right="437" w:firstLine="640"/>
        <w:jc w:val="both"/>
        <w:rPr>
          <w:rFonts w:ascii="Times New Roman" w:eastAsia="Times New Roman"/>
          <w:sz w:val="32"/>
        </w:rPr>
      </w:pPr>
      <w:bookmarkStart w:name="3. 基于电化学技术的肿瘤、心血管疾病等常见重大疾病标志物快速高敏检测方法研究（" w:id="26"/>
      <w:bookmarkEnd w:id="26"/>
      <w:r>
        <w:rPr/>
      </w:r>
      <w:bookmarkStart w:name="3. 基于电化学技术的肿瘤、心血管疾病等常见重大疾病标志物快速高敏检测方法研究（" w:id="27"/>
      <w:bookmarkEnd w:id="27"/>
      <w:r>
        <w:rPr>
          <w:spacing w:val="-9"/>
          <w:sz w:val="32"/>
        </w:rPr>
        <w:t>基于电化学技术的肿瘤、心血管疾病等常见重大疾病</w:t>
      </w:r>
      <w:r>
        <w:rPr>
          <w:spacing w:val="1"/>
          <w:w w:val="95"/>
          <w:sz w:val="32"/>
        </w:rPr>
        <w:t>标志物快速高敏检测方法研究</w:t>
      </w:r>
      <w:r>
        <w:rPr>
          <w:spacing w:val="5"/>
          <w:w w:val="95"/>
          <w:sz w:val="32"/>
        </w:rPr>
        <w:t>（</w:t>
      </w:r>
      <w:r>
        <w:rPr>
          <w:spacing w:val="2"/>
          <w:w w:val="95"/>
          <w:sz w:val="32"/>
        </w:rPr>
        <w:t>申报代码：</w:t>
      </w:r>
      <w:r>
        <w:rPr>
          <w:rFonts w:ascii="Times New Roman" w:eastAsia="Times New Roman"/>
          <w:w w:val="95"/>
          <w:sz w:val="32"/>
        </w:rPr>
        <w:t>ZWA203</w:t>
      </w:r>
      <w:r>
        <w:rPr>
          <w:spacing w:val="1"/>
          <w:w w:val="95"/>
          <w:sz w:val="32"/>
        </w:rPr>
        <w:t>，学科 </w:t>
      </w:r>
      <w:r>
        <w:rPr>
          <w:spacing w:val="1"/>
          <w:sz w:val="32"/>
        </w:rPr>
        <w:t>代码：</w:t>
      </w:r>
      <w:r>
        <w:rPr>
          <w:rFonts w:ascii="Times New Roman" w:eastAsia="Times New Roman"/>
          <w:spacing w:val="1"/>
          <w:sz w:val="32"/>
        </w:rPr>
        <w:t>H20</w:t>
      </w:r>
      <w:r>
        <w:rPr>
          <w:spacing w:val="1"/>
          <w:sz w:val="32"/>
        </w:rPr>
        <w:t>）</w:t>
      </w:r>
    </w:p>
    <w:p>
      <w:pPr>
        <w:pStyle w:val="Heading1"/>
        <w:spacing w:line="485" w:lineRule="exact"/>
      </w:pPr>
      <w:r>
        <w:rPr/>
        <w:t>（二）</w:t>
      </w:r>
      <w:bookmarkStart w:name="（二）重点项目" w:id="28"/>
      <w:bookmarkEnd w:id="28"/>
      <w:r>
        <w:rPr/>
        <w:t>重点项目</w:t>
      </w:r>
    </w:p>
    <w:p>
      <w:pPr>
        <w:pStyle w:val="ListParagraph"/>
        <w:numPr>
          <w:ilvl w:val="0"/>
          <w:numId w:val="2"/>
        </w:numPr>
        <w:tabs>
          <w:tab w:pos="1260" w:val="left" w:leader="none"/>
        </w:tabs>
        <w:spacing w:line="254" w:lineRule="auto" w:before="35" w:after="0"/>
        <w:ind w:left="220" w:right="526" w:firstLine="640"/>
        <w:jc w:val="both"/>
        <w:rPr>
          <w:rFonts w:ascii="Times New Roman" w:eastAsia="Times New Roman"/>
          <w:b/>
          <w:sz w:val="32"/>
        </w:rPr>
      </w:pPr>
      <w:bookmarkStart w:name="4.基于电化学技术构建血液肿瘤复发标志物高敏精准筛查策略研究（申报代码：ZWB2" w:id="29"/>
      <w:bookmarkEnd w:id="29"/>
      <w:r>
        <w:rPr/>
      </w:r>
      <w:bookmarkStart w:name="4.基于电化学技术构建血液肿瘤复发标志物高敏精准筛查策略研究（申报代码：ZWB2" w:id="30"/>
      <w:bookmarkEnd w:id="30"/>
      <w:r>
        <w:rPr>
          <w:rFonts w:ascii="Microsoft JhengHei" w:eastAsia="Microsoft JhengHei" w:hint="eastAsia"/>
          <w:b/>
          <w:sz w:val="32"/>
        </w:rPr>
        <w:t>基于电化学技术构建血液肿瘤复发标志物高敏精准</w:t>
      </w:r>
      <w:r>
        <w:rPr>
          <w:rFonts w:ascii="Microsoft JhengHei" w:eastAsia="Microsoft JhengHei" w:hint="eastAsia"/>
          <w:b/>
          <w:sz w:val="32"/>
        </w:rPr>
        <w:t>筛查策略研究（申报代码：</w:t>
      </w:r>
      <w:r>
        <w:rPr>
          <w:rFonts w:ascii="Times New Roman" w:eastAsia="Times New Roman"/>
          <w:b/>
          <w:sz w:val="32"/>
        </w:rPr>
        <w:t>ZWB204</w:t>
      </w:r>
      <w:r>
        <w:rPr>
          <w:rFonts w:ascii="Microsoft JhengHei" w:eastAsia="Microsoft JhengHei" w:hint="eastAsia"/>
          <w:b/>
          <w:sz w:val="32"/>
        </w:rPr>
        <w:t>，学科代码：</w:t>
      </w:r>
      <w:r>
        <w:rPr>
          <w:rFonts w:ascii="Times New Roman" w:eastAsia="Times New Roman"/>
          <w:b/>
          <w:sz w:val="32"/>
        </w:rPr>
        <w:t>H2005</w:t>
      </w:r>
      <w:r>
        <w:rPr>
          <w:rFonts w:ascii="Microsoft JhengHei" w:eastAsia="Microsoft JhengHei" w:hint="eastAsia"/>
          <w:b/>
          <w:sz w:val="32"/>
        </w:rPr>
        <w:t>）</w:t>
      </w:r>
    </w:p>
    <w:p>
      <w:pPr>
        <w:pStyle w:val="BodyText"/>
        <w:spacing w:line="328" w:lineRule="auto" w:before="128"/>
        <w:ind w:right="425" w:firstLine="640"/>
        <w:jc w:val="both"/>
      </w:pPr>
      <w:r>
        <w:rPr/>
        <w:t>围绕急性髓系白血病临床精准诊疗需求，寻找其复发的特异性分子标志物，特别是与白血病干细胞相关的液体活检标志物。在此基础上探讨采用电化学、纳米科学等方法建立快速高敏精准检测策略，为疾病的个体化诊疗提供新手段。</w:t>
      </w:r>
    </w:p>
    <w:p>
      <w:pPr>
        <w:pStyle w:val="BodyText"/>
        <w:spacing w:line="402" w:lineRule="exact" w:before="0"/>
        <w:ind w:left="860"/>
      </w:pPr>
      <w:r>
        <w:rPr/>
        <w:t>本方向拟支持重点项目 </w:t>
      </w:r>
      <w:r>
        <w:rPr>
          <w:rFonts w:ascii="Times New Roman" w:eastAsia="Times New Roman"/>
        </w:rPr>
        <w:t>1 </w:t>
      </w:r>
      <w:r>
        <w:rPr/>
        <w:t>项。</w:t>
      </w:r>
    </w:p>
    <w:sectPr>
      <w:footerReference w:type="even" r:id="rId7"/>
      <w:pgSz w:w="11910" w:h="16840"/>
      <w:pgMar w:footer="966" w:header="0" w:top="1480" w:bottom="1160" w:left="1580" w:right="1360"/>
      <w:pgNumType w:start="3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type id="_x0000_t202" o:spt="202" coordsize="21600,21600" path="m,l,21600r21600,l21600,xe">
          <v:stroke joinstyle="miter"/>
          <v:path gradientshapeok="t" o:connecttype="rect"/>
        </v:shapetype>
        <v:shape style="position:absolute;margin-left:462.079987pt;margin-top:782.575806pt;width:43.95pt;height:16.05pt;mso-position-horizontal-relative:page;mso-position-vertical-relative:page;z-index:-11536" type="#_x0000_t202" filled="false" stroked="false">
          <v:textbox inset="0,0,0,0">
            <w:txbxContent>
              <w:p>
                <w:pPr>
                  <w:spacing w:line="321" w:lineRule="exact" w:before="0"/>
                  <w:ind w:left="20" w:right="0" w:firstLine="0"/>
                  <w:jc w:val="left"/>
                  <w:rPr>
                    <w:sz w:val="28"/>
                  </w:rPr>
                </w:pPr>
                <w:r>
                  <w:rPr>
                    <w:sz w:val="28"/>
                  </w:rPr>
                  <w:t>- </w:t>
                </w:r>
                <w:r>
                  <w:rPr/>
                  <w:fldChar w:fldCharType="begin"/>
                </w:r>
                <w:r>
                  <w:rPr>
                    <w:sz w:val="28"/>
                  </w:rPr>
                  <w:instrText> PAGE </w:instrText>
                </w:r>
                <w:r>
                  <w:rPr/>
                  <w:fldChar w:fldCharType="separate"/>
                </w:r>
                <w:r>
                  <w:rPr/>
                  <w:t>25</w:t>
                </w:r>
                <w:r>
                  <w:rPr/>
                  <w:fldChar w:fldCharType="end"/>
                </w:r>
                <w:r>
                  <w:rPr>
                    <w:sz w:val="28"/>
                  </w:rPr>
                  <w:t> -</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89.239998pt;margin-top:782.575806pt;width:44.1pt;height:16.05pt;mso-position-horizontal-relative:page;mso-position-vertical-relative:page;z-index:-11512" type="#_x0000_t202" filled="false" stroked="false">
          <v:textbox inset="0,0,0,0">
            <w:txbxContent>
              <w:p>
                <w:pPr>
                  <w:spacing w:line="321" w:lineRule="exact" w:before="0"/>
                  <w:ind w:left="20" w:right="0" w:firstLine="0"/>
                  <w:jc w:val="left"/>
                  <w:rPr>
                    <w:sz w:val="28"/>
                  </w:rPr>
                </w:pPr>
                <w:r>
                  <w:rPr>
                    <w:sz w:val="28"/>
                  </w:rPr>
                  <w:t>- </w:t>
                </w:r>
                <w:r>
                  <w:rPr/>
                  <w:fldChar w:fldCharType="begin"/>
                </w:r>
                <w:r>
                  <w:rPr>
                    <w:sz w:val="28"/>
                  </w:rPr>
                  <w:instrText> PAGE </w:instrText>
                </w:r>
                <w:r>
                  <w:rPr/>
                  <w:fldChar w:fldCharType="separate"/>
                </w:r>
                <w:r>
                  <w:rPr/>
                  <w:t>26</w:t>
                </w:r>
                <w:r>
                  <w:rPr/>
                  <w:fldChar w:fldCharType="end"/>
                </w:r>
                <w:r>
                  <w:rPr>
                    <w:sz w:val="28"/>
                  </w:rPr>
                  <w:t> -</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before="0"/>
      <w:ind w:left="0"/>
      <w:rPr>
        <w:sz w:val="20"/>
      </w:rPr>
    </w:pPr>
    <w:r>
      <w:rPr/>
      <w:pict>
        <v:shape style="position:absolute;margin-left:89.239998pt;margin-top:782.575806pt;width:44.1pt;height:16.05pt;mso-position-horizontal-relative:page;mso-position-vertical-relative:page;z-index:-11488" type="#_x0000_t202" filled="false" stroked="false">
          <v:textbox inset="0,0,0,0">
            <w:txbxContent>
              <w:p>
                <w:pPr>
                  <w:spacing w:line="321" w:lineRule="exact" w:before="0"/>
                  <w:ind w:left="20" w:right="0" w:firstLine="0"/>
                  <w:jc w:val="left"/>
                  <w:rPr>
                    <w:sz w:val="28"/>
                  </w:rPr>
                </w:pPr>
                <w:r>
                  <w:rPr>
                    <w:sz w:val="28"/>
                  </w:rPr>
                  <w:t>- </w:t>
                </w:r>
                <w:r>
                  <w:rPr/>
                  <w:fldChar w:fldCharType="begin"/>
                </w:r>
                <w:r>
                  <w:rPr>
                    <w:sz w:val="28"/>
                  </w:rPr>
                  <w:instrText> PAGE </w:instrText>
                </w:r>
                <w:r>
                  <w:rPr/>
                  <w:fldChar w:fldCharType="separate"/>
                </w:r>
                <w:r>
                  <w:rPr/>
                  <w:t>30</w:t>
                </w:r>
                <w:r>
                  <w:rPr/>
                  <w:fldChar w:fldCharType="end"/>
                </w:r>
                <w:r>
                  <w:rPr>
                    <w:sz w:val="28"/>
                  </w:rPr>
                  <w:t> -</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220" w:hanging="399"/>
        <w:jc w:val="left"/>
      </w:pPr>
      <w:rPr>
        <w:rFonts w:hint="default"/>
        <w:spacing w:val="0"/>
        <w:w w:val="99"/>
      </w:rPr>
    </w:lvl>
    <w:lvl w:ilvl="1">
      <w:start w:val="0"/>
      <w:numFmt w:val="bullet"/>
      <w:lvlText w:val="•"/>
      <w:lvlJc w:val="left"/>
      <w:pPr>
        <w:ind w:left="1094" w:hanging="399"/>
      </w:pPr>
      <w:rPr>
        <w:rFonts w:hint="default"/>
      </w:rPr>
    </w:lvl>
    <w:lvl w:ilvl="2">
      <w:start w:val="0"/>
      <w:numFmt w:val="bullet"/>
      <w:lvlText w:val="•"/>
      <w:lvlJc w:val="left"/>
      <w:pPr>
        <w:ind w:left="1969" w:hanging="399"/>
      </w:pPr>
      <w:rPr>
        <w:rFonts w:hint="default"/>
      </w:rPr>
    </w:lvl>
    <w:lvl w:ilvl="3">
      <w:start w:val="0"/>
      <w:numFmt w:val="bullet"/>
      <w:lvlText w:val="•"/>
      <w:lvlJc w:val="left"/>
      <w:pPr>
        <w:ind w:left="2843" w:hanging="399"/>
      </w:pPr>
      <w:rPr>
        <w:rFonts w:hint="default"/>
      </w:rPr>
    </w:lvl>
    <w:lvl w:ilvl="4">
      <w:start w:val="0"/>
      <w:numFmt w:val="bullet"/>
      <w:lvlText w:val="•"/>
      <w:lvlJc w:val="left"/>
      <w:pPr>
        <w:ind w:left="3718" w:hanging="399"/>
      </w:pPr>
      <w:rPr>
        <w:rFonts w:hint="default"/>
      </w:rPr>
    </w:lvl>
    <w:lvl w:ilvl="5">
      <w:start w:val="0"/>
      <w:numFmt w:val="bullet"/>
      <w:lvlText w:val="•"/>
      <w:lvlJc w:val="left"/>
      <w:pPr>
        <w:ind w:left="4593" w:hanging="399"/>
      </w:pPr>
      <w:rPr>
        <w:rFonts w:hint="default"/>
      </w:rPr>
    </w:lvl>
    <w:lvl w:ilvl="6">
      <w:start w:val="0"/>
      <w:numFmt w:val="bullet"/>
      <w:lvlText w:val="•"/>
      <w:lvlJc w:val="left"/>
      <w:pPr>
        <w:ind w:left="5467" w:hanging="399"/>
      </w:pPr>
      <w:rPr>
        <w:rFonts w:hint="default"/>
      </w:rPr>
    </w:lvl>
    <w:lvl w:ilvl="7">
      <w:start w:val="0"/>
      <w:numFmt w:val="bullet"/>
      <w:lvlText w:val="•"/>
      <w:lvlJc w:val="left"/>
      <w:pPr>
        <w:ind w:left="6342" w:hanging="399"/>
      </w:pPr>
      <w:rPr>
        <w:rFonts w:hint="default"/>
      </w:rPr>
    </w:lvl>
    <w:lvl w:ilvl="8">
      <w:start w:val="0"/>
      <w:numFmt w:val="bullet"/>
      <w:lvlText w:val="•"/>
      <w:lvlJc w:val="left"/>
      <w:pPr>
        <w:ind w:left="7216" w:hanging="399"/>
      </w:pPr>
      <w:rPr>
        <w:rFonts w:hint="default"/>
      </w:rPr>
    </w:lvl>
  </w:abstractNum>
  <w:abstractNum w:abstractNumId="0">
    <w:multiLevelType w:val="hybridMultilevel"/>
    <w:lvl w:ilvl="0">
      <w:start w:val="1"/>
      <w:numFmt w:val="decimal"/>
      <w:lvlText w:val="%1."/>
      <w:lvlJc w:val="left"/>
      <w:pPr>
        <w:ind w:left="220" w:hanging="428"/>
        <w:jc w:val="left"/>
      </w:pPr>
      <w:rPr>
        <w:rFonts w:hint="default"/>
        <w:spacing w:val="0"/>
        <w:w w:val="99"/>
      </w:rPr>
    </w:lvl>
    <w:lvl w:ilvl="1">
      <w:start w:val="0"/>
      <w:numFmt w:val="bullet"/>
      <w:lvlText w:val="•"/>
      <w:lvlJc w:val="left"/>
      <w:pPr>
        <w:ind w:left="1094" w:hanging="428"/>
      </w:pPr>
      <w:rPr>
        <w:rFonts w:hint="default"/>
      </w:rPr>
    </w:lvl>
    <w:lvl w:ilvl="2">
      <w:start w:val="0"/>
      <w:numFmt w:val="bullet"/>
      <w:lvlText w:val="•"/>
      <w:lvlJc w:val="left"/>
      <w:pPr>
        <w:ind w:left="1969" w:hanging="428"/>
      </w:pPr>
      <w:rPr>
        <w:rFonts w:hint="default"/>
      </w:rPr>
    </w:lvl>
    <w:lvl w:ilvl="3">
      <w:start w:val="0"/>
      <w:numFmt w:val="bullet"/>
      <w:lvlText w:val="•"/>
      <w:lvlJc w:val="left"/>
      <w:pPr>
        <w:ind w:left="2843" w:hanging="428"/>
      </w:pPr>
      <w:rPr>
        <w:rFonts w:hint="default"/>
      </w:rPr>
    </w:lvl>
    <w:lvl w:ilvl="4">
      <w:start w:val="0"/>
      <w:numFmt w:val="bullet"/>
      <w:lvlText w:val="•"/>
      <w:lvlJc w:val="left"/>
      <w:pPr>
        <w:ind w:left="3718" w:hanging="428"/>
      </w:pPr>
      <w:rPr>
        <w:rFonts w:hint="default"/>
      </w:rPr>
    </w:lvl>
    <w:lvl w:ilvl="5">
      <w:start w:val="0"/>
      <w:numFmt w:val="bullet"/>
      <w:lvlText w:val="•"/>
      <w:lvlJc w:val="left"/>
      <w:pPr>
        <w:ind w:left="4593" w:hanging="428"/>
      </w:pPr>
      <w:rPr>
        <w:rFonts w:hint="default"/>
      </w:rPr>
    </w:lvl>
    <w:lvl w:ilvl="6">
      <w:start w:val="0"/>
      <w:numFmt w:val="bullet"/>
      <w:lvlText w:val="•"/>
      <w:lvlJc w:val="left"/>
      <w:pPr>
        <w:ind w:left="5467" w:hanging="428"/>
      </w:pPr>
      <w:rPr>
        <w:rFonts w:hint="default"/>
      </w:rPr>
    </w:lvl>
    <w:lvl w:ilvl="7">
      <w:start w:val="0"/>
      <w:numFmt w:val="bullet"/>
      <w:lvlText w:val="•"/>
      <w:lvlJc w:val="left"/>
      <w:pPr>
        <w:ind w:left="6342" w:hanging="428"/>
      </w:pPr>
      <w:rPr>
        <w:rFonts w:hint="default"/>
      </w:rPr>
    </w:lvl>
    <w:lvl w:ilvl="8">
      <w:start w:val="0"/>
      <w:numFmt w:val="bullet"/>
      <w:lvlText w:val="•"/>
      <w:lvlJc w:val="left"/>
      <w:pPr>
        <w:ind w:left="7216" w:hanging="428"/>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rPr>
  </w:style>
  <w:style w:styleId="BodyText" w:type="paragraph">
    <w:name w:val="Body Text"/>
    <w:basedOn w:val="Normal"/>
    <w:uiPriority w:val="1"/>
    <w:qFormat/>
    <w:pPr>
      <w:spacing w:before="214"/>
      <w:ind w:left="220"/>
    </w:pPr>
    <w:rPr>
      <w:rFonts w:ascii="宋体" w:hAnsi="宋体" w:eastAsia="宋体" w:cs="宋体"/>
      <w:sz w:val="32"/>
      <w:szCs w:val="32"/>
    </w:rPr>
  </w:style>
  <w:style w:styleId="Heading1" w:type="paragraph">
    <w:name w:val="Heading 1"/>
    <w:basedOn w:val="Normal"/>
    <w:uiPriority w:val="1"/>
    <w:qFormat/>
    <w:pPr>
      <w:ind w:left="860"/>
      <w:outlineLvl w:val="1"/>
    </w:pPr>
    <w:rPr>
      <w:rFonts w:ascii="Microsoft JhengHei" w:hAnsi="Microsoft JhengHei" w:eastAsia="Microsoft JhengHei" w:cs="Microsoft JhengHei"/>
      <w:b/>
      <w:bCs/>
      <w:sz w:val="32"/>
      <w:szCs w:val="32"/>
    </w:rPr>
  </w:style>
  <w:style w:styleId="ListParagraph" w:type="paragraph">
    <w:name w:val="List Paragraph"/>
    <w:basedOn w:val="Normal"/>
    <w:uiPriority w:val="1"/>
    <w:qFormat/>
    <w:pPr>
      <w:spacing w:before="214"/>
      <w:ind w:left="220" w:right="437" w:firstLine="640"/>
    </w:pPr>
    <w:rPr>
      <w:rFonts w:ascii="宋体" w:hAnsi="宋体" w:eastAsia="宋体" w:cs="宋体"/>
    </w:rPr>
  </w:style>
  <w:style w:styleId="TableParagraph" w:type="paragraph">
    <w:name w:val="Table Paragraph"/>
    <w:basedOn w:val="Normal"/>
    <w:uiPriority w:val="1"/>
    <w:qFormat/>
    <w:pPr/>
    <w:rPr>
      <w:rFonts w:ascii="宋体" w:hAnsi="宋体" w:eastAsia="宋体" w:cs="宋体"/>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喵喵</dc:creator>
  <dcterms:created xsi:type="dcterms:W3CDTF">2022-06-24T07:49:19Z</dcterms:created>
  <dcterms:modified xsi:type="dcterms:W3CDTF">2022-06-24T07:49:19Z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2022-06-17T00:00:00Z</vt:filetime>
  </property>
  <property fmtid="{D5CDD505-2E9C-101B-9397-08002B2CF9AE}" pid="3" name="Creator">
    <vt:lpwstr>WPS Office</vt:lpwstr>
  </property>
  <property fmtid="{D5CDD505-2E9C-101B-9397-08002B2CF9AE}" pid="4" name="LastSaved">
    <vt:filetime>2022-06-24T00:00:00Z</vt:filetime>
  </property>
</Properties>
</file>